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69891">
      <w:pPr>
        <w:rPr>
          <w:b/>
          <w:color w:val="auto"/>
        </w:rPr>
      </w:pPr>
      <w:r>
        <w:rPr>
          <w:rFonts w:hint="eastAsia"/>
          <w:b/>
          <w:color w:val="auto"/>
        </w:rPr>
        <w:t>附件一</w:t>
      </w:r>
    </w:p>
    <w:p w14:paraId="1C76344A">
      <w:pPr>
        <w:ind w:firstLine="482" w:firstLineChars="150"/>
        <w:jc w:val="center"/>
        <w:rPr>
          <w:rFonts w:hint="eastAsia" w:ascii="仿宋_GB2312" w:eastAsia="仿宋_GB2312"/>
          <w:b/>
          <w:color w:val="auto"/>
          <w:sz w:val="32"/>
        </w:rPr>
      </w:pPr>
      <w:r>
        <w:rPr>
          <w:rFonts w:hint="eastAsia" w:ascii="仿宋_GB2312" w:eastAsia="仿宋_GB2312"/>
          <w:b/>
          <w:color w:val="auto"/>
          <w:sz w:val="32"/>
          <w:szCs w:val="30"/>
        </w:rPr>
        <w:t>东南大学艺术学院</w:t>
      </w:r>
      <w:r>
        <w:rPr>
          <w:rFonts w:hint="eastAsia" w:ascii="仿宋_GB2312" w:eastAsia="仿宋_GB2312"/>
          <w:b/>
          <w:color w:val="auto"/>
          <w:sz w:val="32"/>
          <w:szCs w:val="30"/>
          <w:lang w:val="en-US" w:eastAsia="zh-CN"/>
        </w:rPr>
        <w:t>研究生</w:t>
      </w:r>
      <w:r>
        <w:rPr>
          <w:rFonts w:hint="eastAsia" w:ascii="仿宋_GB2312" w:eastAsia="仿宋_GB2312"/>
          <w:b/>
          <w:color w:val="auto"/>
          <w:sz w:val="32"/>
          <w:lang w:val="en-US" w:eastAsia="zh-CN"/>
        </w:rPr>
        <w:t>评优</w:t>
      </w:r>
      <w:r>
        <w:rPr>
          <w:rFonts w:hint="eastAsia" w:ascii="仿宋_GB2312" w:eastAsia="仿宋_GB2312"/>
          <w:b/>
          <w:color w:val="auto"/>
          <w:sz w:val="32"/>
        </w:rPr>
        <w:t>评选得分统计办法</w:t>
      </w:r>
    </w:p>
    <w:p w14:paraId="3C8BDEBB">
      <w:pPr>
        <w:ind w:firstLine="482" w:firstLineChars="150"/>
        <w:jc w:val="center"/>
        <w:rPr>
          <w:rFonts w:ascii="仿宋_GB2312" w:eastAsia="仿宋_GB2312"/>
          <w:b/>
          <w:color w:val="auto"/>
          <w:sz w:val="32"/>
        </w:rPr>
      </w:pPr>
      <w:r>
        <w:rPr>
          <w:rFonts w:hint="eastAsia" w:ascii="仿宋_GB2312" w:eastAsia="仿宋_GB2312"/>
          <w:b/>
          <w:color w:val="auto"/>
          <w:sz w:val="32"/>
        </w:rPr>
        <w:t>（20</w:t>
      </w:r>
      <w:r>
        <w:rPr>
          <w:rFonts w:ascii="仿宋_GB2312" w:eastAsia="仿宋_GB2312"/>
          <w:b/>
          <w:color w:val="auto"/>
          <w:sz w:val="32"/>
        </w:rPr>
        <w:t>2</w:t>
      </w:r>
      <w:r>
        <w:rPr>
          <w:rFonts w:hint="eastAsia" w:ascii="仿宋_GB2312" w:eastAsia="仿宋_GB2312"/>
          <w:b/>
          <w:color w:val="auto"/>
          <w:sz w:val="32"/>
          <w:lang w:val="en-US" w:eastAsia="zh-CN"/>
        </w:rPr>
        <w:t>6</w:t>
      </w:r>
      <w:r>
        <w:rPr>
          <w:rFonts w:hint="eastAsia" w:ascii="仿宋_GB2312" w:eastAsia="仿宋_GB2312"/>
          <w:b/>
          <w:color w:val="auto"/>
          <w:sz w:val="32"/>
        </w:rPr>
        <w:t>年</w:t>
      </w:r>
      <w:r>
        <w:rPr>
          <w:rFonts w:hint="eastAsia" w:ascii="仿宋_GB2312" w:eastAsia="仿宋_GB2312"/>
          <w:b/>
          <w:color w:val="auto"/>
          <w:sz w:val="32"/>
          <w:lang w:val="en-US" w:eastAsia="zh-CN"/>
        </w:rPr>
        <w:t>修订</w:t>
      </w:r>
      <w:r>
        <w:rPr>
          <w:rFonts w:hint="eastAsia" w:ascii="仿宋_GB2312" w:eastAsia="仿宋_GB2312"/>
          <w:b/>
          <w:color w:val="auto"/>
          <w:sz w:val="32"/>
        </w:rPr>
        <w:t>）</w:t>
      </w:r>
    </w:p>
    <w:p w14:paraId="11BBAD23">
      <w:pPr>
        <w:spacing w:line="360" w:lineRule="auto"/>
        <w:rPr>
          <w:rFonts w:ascii="仿宋_GB2312" w:eastAsia="仿宋_GB2312"/>
          <w:b/>
          <w:color w:val="auto"/>
          <w:sz w:val="32"/>
        </w:rPr>
      </w:pPr>
      <w:r>
        <w:rPr>
          <w:rFonts w:hint="eastAsia" w:ascii="仿宋_GB2312" w:eastAsia="仿宋_GB2312"/>
          <w:b/>
          <w:color w:val="auto"/>
          <w:sz w:val="32"/>
        </w:rPr>
        <w:t>一、</w:t>
      </w:r>
      <w:r>
        <w:rPr>
          <w:rFonts w:hint="eastAsia" w:ascii="仿宋_GB2312" w:eastAsia="仿宋_GB2312"/>
          <w:b/>
          <w:color w:val="auto"/>
          <w:sz w:val="32"/>
          <w:lang w:val="en-US" w:eastAsia="zh-CN"/>
        </w:rPr>
        <w:t>班级</w:t>
      </w:r>
      <w:r>
        <w:rPr>
          <w:rFonts w:hint="eastAsia" w:ascii="仿宋_GB2312" w:eastAsia="仿宋_GB2312"/>
          <w:b/>
          <w:color w:val="auto"/>
          <w:sz w:val="32"/>
        </w:rPr>
        <w:t>民主</w:t>
      </w:r>
      <w:r>
        <w:rPr>
          <w:rFonts w:ascii="仿宋_GB2312" w:eastAsia="仿宋_GB2312"/>
          <w:b/>
          <w:color w:val="auto"/>
          <w:sz w:val="32"/>
        </w:rPr>
        <w:t>评议</w:t>
      </w:r>
    </w:p>
    <w:p w14:paraId="264D08E8">
      <w:pPr>
        <w:spacing w:line="480" w:lineRule="exact"/>
        <w:ind w:firstLine="700" w:firstLineChars="250"/>
        <w:rPr>
          <w:rFonts w:ascii="Calibri" w:hAnsi="Calibri" w:eastAsia="仿宋_GB2312"/>
          <w:color w:val="auto"/>
          <w:sz w:val="28"/>
          <w:szCs w:val="28"/>
        </w:rPr>
      </w:pPr>
      <w:r>
        <w:rPr>
          <w:rFonts w:hint="eastAsia" w:ascii="Calibri" w:hAnsi="Calibri" w:eastAsia="仿宋_GB2312"/>
          <w:color w:val="auto"/>
          <w:sz w:val="28"/>
          <w:szCs w:val="28"/>
          <w:lang w:val="en-US" w:eastAsia="zh-CN"/>
        </w:rPr>
        <w:t>班级</w:t>
      </w:r>
      <w:r>
        <w:rPr>
          <w:rFonts w:hint="eastAsia" w:ascii="Calibri" w:hAnsi="Calibri" w:eastAsia="仿宋_GB2312"/>
          <w:color w:val="auto"/>
          <w:sz w:val="28"/>
          <w:szCs w:val="28"/>
        </w:rPr>
        <w:t>进行民主评议前务必先审核参评同学的基本条件。条件</w:t>
      </w:r>
      <w:r>
        <w:rPr>
          <w:rFonts w:ascii="Calibri" w:hAnsi="Calibri" w:eastAsia="仿宋_GB2312"/>
          <w:color w:val="auto"/>
          <w:sz w:val="28"/>
          <w:szCs w:val="28"/>
        </w:rPr>
        <w:t>符合后进行</w:t>
      </w:r>
      <w:r>
        <w:rPr>
          <w:rFonts w:hint="eastAsia" w:ascii="Calibri" w:hAnsi="Calibri" w:eastAsia="仿宋_GB2312"/>
          <w:color w:val="auto"/>
          <w:sz w:val="28"/>
          <w:szCs w:val="28"/>
        </w:rPr>
        <w:t>团支部民主</w:t>
      </w:r>
      <w:r>
        <w:rPr>
          <w:rFonts w:ascii="Calibri" w:hAnsi="Calibri" w:eastAsia="仿宋_GB2312"/>
          <w:color w:val="auto"/>
          <w:sz w:val="28"/>
          <w:szCs w:val="28"/>
        </w:rPr>
        <w:t>评议，</w:t>
      </w:r>
      <w:r>
        <w:rPr>
          <w:rFonts w:hint="eastAsia" w:ascii="Calibri" w:hAnsi="Calibri" w:eastAsia="仿宋_GB2312"/>
          <w:b/>
          <w:bCs/>
          <w:color w:val="auto"/>
          <w:sz w:val="28"/>
          <w:szCs w:val="28"/>
          <w:lang w:val="en-US" w:eastAsia="zh-CN"/>
        </w:rPr>
        <w:t>班级</w:t>
      </w:r>
      <w:r>
        <w:rPr>
          <w:rFonts w:hint="eastAsia" w:ascii="Calibri" w:hAnsi="Calibri" w:eastAsia="仿宋_GB2312"/>
          <w:b/>
          <w:bCs/>
          <w:color w:val="auto"/>
          <w:sz w:val="28"/>
          <w:szCs w:val="28"/>
        </w:rPr>
        <w:t>民主评议小组</w:t>
      </w:r>
      <w:r>
        <w:rPr>
          <w:rFonts w:hint="eastAsia" w:ascii="Calibri" w:hAnsi="Calibri" w:eastAsia="仿宋_GB2312"/>
          <w:color w:val="auto"/>
          <w:sz w:val="28"/>
          <w:szCs w:val="28"/>
        </w:rPr>
        <w:t>由该</w:t>
      </w:r>
      <w:r>
        <w:rPr>
          <w:rFonts w:ascii="Calibri" w:hAnsi="Calibri" w:eastAsia="仿宋_GB2312"/>
          <w:color w:val="auto"/>
          <w:sz w:val="28"/>
          <w:szCs w:val="28"/>
        </w:rPr>
        <w:t>集体</w:t>
      </w:r>
      <w:r>
        <w:rPr>
          <w:rFonts w:hint="eastAsia" w:ascii="Calibri" w:hAnsi="Calibri" w:eastAsia="仿宋_GB2312"/>
          <w:color w:val="auto"/>
          <w:sz w:val="28"/>
          <w:szCs w:val="28"/>
        </w:rPr>
        <w:t>50</w:t>
      </w:r>
      <w:r>
        <w:rPr>
          <w:rFonts w:ascii="Calibri" w:hAnsi="Calibri" w:eastAsia="仿宋_GB2312"/>
          <w:color w:val="auto"/>
          <w:sz w:val="28"/>
          <w:szCs w:val="28"/>
        </w:rPr>
        <w:t>%的同学</w:t>
      </w:r>
      <w:r>
        <w:rPr>
          <w:rFonts w:hint="eastAsia" w:ascii="Calibri" w:hAnsi="Calibri" w:eastAsia="仿宋_GB2312"/>
          <w:color w:val="auto"/>
          <w:sz w:val="28"/>
          <w:szCs w:val="28"/>
        </w:rPr>
        <w:t>构成，</w:t>
      </w:r>
      <w:r>
        <w:rPr>
          <w:rFonts w:ascii="Calibri" w:hAnsi="Calibri" w:eastAsia="仿宋_GB2312"/>
          <w:color w:val="auto"/>
          <w:sz w:val="28"/>
          <w:szCs w:val="28"/>
        </w:rPr>
        <w:t>最少不低于</w:t>
      </w:r>
      <w:r>
        <w:rPr>
          <w:rFonts w:hint="eastAsia" w:ascii="Calibri" w:hAnsi="Calibri" w:eastAsia="仿宋_GB2312"/>
          <w:color w:val="auto"/>
          <w:sz w:val="28"/>
          <w:szCs w:val="28"/>
        </w:rPr>
        <w:t>5人</w:t>
      </w:r>
      <w:r>
        <w:rPr>
          <w:rFonts w:ascii="Calibri" w:hAnsi="Calibri" w:eastAsia="仿宋_GB2312"/>
          <w:color w:val="auto"/>
          <w:sz w:val="28"/>
          <w:szCs w:val="28"/>
        </w:rPr>
        <w:t>，</w:t>
      </w:r>
      <w:r>
        <w:rPr>
          <w:rFonts w:hint="eastAsia" w:ascii="Calibri" w:hAnsi="Calibri" w:eastAsia="仿宋_GB2312"/>
          <w:color w:val="auto"/>
          <w:sz w:val="28"/>
          <w:szCs w:val="28"/>
        </w:rPr>
        <w:t>必须包含</w:t>
      </w:r>
      <w:r>
        <w:rPr>
          <w:rFonts w:hint="eastAsia" w:ascii="Calibri" w:hAnsi="Calibri" w:eastAsia="仿宋_GB2312"/>
          <w:color w:val="auto"/>
          <w:sz w:val="28"/>
          <w:szCs w:val="28"/>
          <w:lang w:val="en-US" w:eastAsia="zh-CN"/>
        </w:rPr>
        <w:t>班长、</w:t>
      </w:r>
      <w:r>
        <w:rPr>
          <w:rFonts w:hint="eastAsia" w:ascii="Calibri" w:hAnsi="Calibri" w:eastAsia="仿宋_GB2312"/>
          <w:color w:val="auto"/>
          <w:sz w:val="28"/>
          <w:szCs w:val="28"/>
        </w:rPr>
        <w:t>团支书、党班团班委或支委中的1-2名代表、1-3名无任何党班团职务的普通学生代表组成评议小组，</w:t>
      </w:r>
      <w:r>
        <w:rPr>
          <w:rFonts w:hint="eastAsia" w:ascii="Calibri" w:hAnsi="Calibri" w:eastAsia="仿宋_GB2312"/>
          <w:b/>
          <w:bCs/>
          <w:color w:val="auto"/>
          <w:sz w:val="28"/>
          <w:szCs w:val="28"/>
        </w:rPr>
        <w:t>参评同学不建议作为民主评议小组成员</w:t>
      </w:r>
      <w:r>
        <w:rPr>
          <w:rFonts w:hint="eastAsia" w:ascii="Calibri" w:hAnsi="Calibri" w:eastAsia="仿宋_GB2312"/>
          <w:color w:val="auto"/>
          <w:sz w:val="28"/>
          <w:szCs w:val="28"/>
        </w:rPr>
        <w:t>。民主</w:t>
      </w:r>
      <w:r>
        <w:rPr>
          <w:rFonts w:ascii="Calibri" w:hAnsi="Calibri" w:eastAsia="仿宋_GB2312"/>
          <w:color w:val="auto"/>
          <w:sz w:val="28"/>
          <w:szCs w:val="28"/>
        </w:rPr>
        <w:t>评议工作内容</w:t>
      </w:r>
      <w:r>
        <w:rPr>
          <w:rFonts w:hint="eastAsia" w:ascii="Calibri" w:hAnsi="Calibri" w:eastAsia="仿宋_GB2312"/>
          <w:color w:val="auto"/>
          <w:sz w:val="28"/>
          <w:szCs w:val="28"/>
        </w:rPr>
        <w:t>主要</w:t>
      </w:r>
      <w:r>
        <w:rPr>
          <w:rFonts w:ascii="Calibri" w:hAnsi="Calibri" w:eastAsia="仿宋_GB2312"/>
          <w:color w:val="auto"/>
          <w:sz w:val="28"/>
          <w:szCs w:val="28"/>
        </w:rPr>
        <w:t>是组织</w:t>
      </w:r>
      <w:r>
        <w:rPr>
          <w:rFonts w:hint="eastAsia" w:ascii="Calibri" w:hAnsi="Calibri" w:eastAsia="仿宋_GB2312"/>
          <w:color w:val="auto"/>
          <w:sz w:val="28"/>
          <w:szCs w:val="28"/>
          <w:lang w:val="en-US" w:eastAsia="zh-CN"/>
        </w:rPr>
        <w:t>班级</w:t>
      </w:r>
      <w:r>
        <w:rPr>
          <w:rFonts w:ascii="Calibri" w:hAnsi="Calibri" w:eastAsia="仿宋_GB2312"/>
          <w:color w:val="auto"/>
          <w:sz w:val="28"/>
          <w:szCs w:val="28"/>
        </w:rPr>
        <w:t>成员根据申请者</w:t>
      </w:r>
      <w:r>
        <w:rPr>
          <w:rFonts w:hint="eastAsia" w:ascii="Calibri" w:hAnsi="Calibri" w:eastAsia="仿宋_GB2312"/>
          <w:color w:val="auto"/>
          <w:sz w:val="28"/>
          <w:szCs w:val="28"/>
        </w:rPr>
        <w:t>提交</w:t>
      </w:r>
      <w:r>
        <w:rPr>
          <w:rFonts w:ascii="Calibri" w:hAnsi="Calibri" w:eastAsia="仿宋_GB2312"/>
          <w:color w:val="auto"/>
          <w:sz w:val="28"/>
          <w:szCs w:val="28"/>
        </w:rPr>
        <w:t>的申报材料进行公开投票</w:t>
      </w:r>
      <w:r>
        <w:rPr>
          <w:rFonts w:hint="eastAsia" w:ascii="Calibri" w:hAnsi="Calibri" w:eastAsia="仿宋_GB2312"/>
          <w:color w:val="auto"/>
          <w:sz w:val="28"/>
          <w:szCs w:val="28"/>
        </w:rPr>
        <w:t>，</w:t>
      </w:r>
      <w:r>
        <w:rPr>
          <w:rFonts w:ascii="Calibri" w:hAnsi="Calibri" w:eastAsia="仿宋_GB2312"/>
          <w:color w:val="auto"/>
          <w:sz w:val="28"/>
          <w:szCs w:val="28"/>
        </w:rPr>
        <w:t>投票</w:t>
      </w:r>
      <w:r>
        <w:rPr>
          <w:rFonts w:hint="eastAsia" w:ascii="Calibri" w:hAnsi="Calibri" w:eastAsia="仿宋_GB2312"/>
          <w:color w:val="auto"/>
          <w:sz w:val="28"/>
          <w:szCs w:val="28"/>
        </w:rPr>
        <w:t>包含</w:t>
      </w:r>
      <w:r>
        <w:rPr>
          <w:rFonts w:ascii="Calibri" w:hAnsi="Calibri" w:eastAsia="仿宋_GB2312"/>
          <w:color w:val="auto"/>
          <w:sz w:val="28"/>
          <w:szCs w:val="28"/>
        </w:rPr>
        <w:t>合格与不合格</w:t>
      </w:r>
      <w:r>
        <w:rPr>
          <w:rFonts w:hint="eastAsia" w:ascii="Calibri" w:hAnsi="Calibri" w:eastAsia="仿宋_GB2312"/>
          <w:color w:val="auto"/>
          <w:sz w:val="28"/>
          <w:szCs w:val="28"/>
        </w:rPr>
        <w:t>2个</w:t>
      </w:r>
      <w:r>
        <w:rPr>
          <w:rFonts w:ascii="Calibri" w:hAnsi="Calibri" w:eastAsia="仿宋_GB2312"/>
          <w:color w:val="auto"/>
          <w:sz w:val="28"/>
          <w:szCs w:val="28"/>
        </w:rPr>
        <w:t>选项，</w:t>
      </w:r>
      <w:r>
        <w:rPr>
          <w:rFonts w:hint="eastAsia" w:ascii="Calibri" w:hAnsi="Calibri" w:eastAsia="仿宋_GB2312"/>
          <w:color w:val="auto"/>
          <w:sz w:val="28"/>
          <w:szCs w:val="28"/>
        </w:rPr>
        <w:t>若投</w:t>
      </w:r>
      <w:r>
        <w:rPr>
          <w:rFonts w:ascii="Calibri" w:hAnsi="Calibri" w:eastAsia="仿宋_GB2312"/>
          <w:color w:val="auto"/>
          <w:sz w:val="28"/>
          <w:szCs w:val="28"/>
        </w:rPr>
        <w:t>不合格</w:t>
      </w:r>
      <w:r>
        <w:rPr>
          <w:rFonts w:hint="eastAsia" w:ascii="Calibri" w:hAnsi="Calibri" w:eastAsia="仿宋_GB2312"/>
          <w:color w:val="auto"/>
          <w:sz w:val="28"/>
          <w:szCs w:val="28"/>
        </w:rPr>
        <w:t>，需</w:t>
      </w:r>
      <w:r>
        <w:rPr>
          <w:rFonts w:ascii="Calibri" w:hAnsi="Calibri" w:eastAsia="仿宋_GB2312"/>
          <w:color w:val="auto"/>
          <w:sz w:val="28"/>
          <w:szCs w:val="28"/>
        </w:rPr>
        <w:t>填写</w:t>
      </w:r>
      <w:r>
        <w:rPr>
          <w:rFonts w:hint="eastAsia" w:ascii="Calibri" w:hAnsi="Calibri" w:eastAsia="仿宋_GB2312"/>
          <w:color w:val="auto"/>
          <w:sz w:val="28"/>
          <w:szCs w:val="28"/>
        </w:rPr>
        <w:t>具体原因</w:t>
      </w:r>
      <w:r>
        <w:rPr>
          <w:rFonts w:ascii="Calibri" w:hAnsi="Calibri" w:eastAsia="仿宋_GB2312"/>
          <w:color w:val="auto"/>
          <w:sz w:val="28"/>
          <w:szCs w:val="28"/>
        </w:rPr>
        <w:t>，</w:t>
      </w:r>
      <w:r>
        <w:rPr>
          <w:rFonts w:hint="eastAsia" w:ascii="Calibri" w:hAnsi="Calibri" w:eastAsia="仿宋_GB2312"/>
          <w:color w:val="auto"/>
          <w:sz w:val="28"/>
          <w:szCs w:val="28"/>
        </w:rPr>
        <w:t>否则视为合格；如果填写</w:t>
      </w:r>
      <w:r>
        <w:rPr>
          <w:rFonts w:ascii="Calibri" w:hAnsi="Calibri" w:eastAsia="仿宋_GB2312"/>
          <w:color w:val="auto"/>
          <w:sz w:val="28"/>
          <w:szCs w:val="28"/>
        </w:rPr>
        <w:t>的</w:t>
      </w:r>
      <w:r>
        <w:rPr>
          <w:rFonts w:hint="eastAsia" w:ascii="Calibri" w:hAnsi="Calibri" w:eastAsia="仿宋_GB2312"/>
          <w:color w:val="auto"/>
          <w:sz w:val="28"/>
          <w:szCs w:val="28"/>
        </w:rPr>
        <w:t>具体原因不合理,民主评议小组可召开会议驳回并告知支部成员，</w:t>
      </w:r>
      <w:r>
        <w:rPr>
          <w:rFonts w:ascii="Calibri" w:hAnsi="Calibri" w:eastAsia="仿宋_GB2312"/>
          <w:color w:val="auto"/>
          <w:sz w:val="28"/>
          <w:szCs w:val="28"/>
        </w:rPr>
        <w:t>不合格票数</w:t>
      </w:r>
      <w:r>
        <w:rPr>
          <w:rFonts w:hint="eastAsia" w:ascii="Calibri" w:hAnsi="Calibri" w:eastAsia="仿宋_GB2312"/>
          <w:color w:val="auto"/>
          <w:sz w:val="28"/>
          <w:szCs w:val="28"/>
        </w:rPr>
        <w:t>超</w:t>
      </w:r>
      <w:r>
        <w:rPr>
          <w:rFonts w:ascii="Calibri" w:hAnsi="Calibri" w:eastAsia="仿宋_GB2312"/>
          <w:color w:val="auto"/>
          <w:sz w:val="28"/>
          <w:szCs w:val="28"/>
        </w:rPr>
        <w:t>过投票人数的</w:t>
      </w:r>
      <w:r>
        <w:rPr>
          <w:rFonts w:hint="eastAsia" w:ascii="Calibri" w:hAnsi="Calibri" w:eastAsia="仿宋_GB2312"/>
          <w:color w:val="auto"/>
          <w:sz w:val="28"/>
          <w:szCs w:val="28"/>
        </w:rPr>
        <w:t>30</w:t>
      </w:r>
      <w:r>
        <w:rPr>
          <w:rFonts w:ascii="Calibri" w:hAnsi="Calibri" w:eastAsia="仿宋_GB2312"/>
          <w:color w:val="auto"/>
          <w:sz w:val="28"/>
          <w:szCs w:val="28"/>
        </w:rPr>
        <w:t>%，民主投票结果认定为不合格</w:t>
      </w:r>
      <w:r>
        <w:rPr>
          <w:rFonts w:hint="eastAsia" w:ascii="Calibri" w:hAnsi="Calibri" w:eastAsia="仿宋_GB2312"/>
          <w:color w:val="auto"/>
          <w:sz w:val="28"/>
          <w:szCs w:val="28"/>
        </w:rPr>
        <w:t>。认定为</w:t>
      </w:r>
      <w:r>
        <w:rPr>
          <w:rFonts w:ascii="Calibri" w:hAnsi="Calibri" w:eastAsia="仿宋_GB2312"/>
          <w:color w:val="auto"/>
          <w:sz w:val="28"/>
          <w:szCs w:val="28"/>
        </w:rPr>
        <w:t>合格的</w:t>
      </w:r>
      <w:r>
        <w:rPr>
          <w:rFonts w:hint="eastAsia" w:ascii="Calibri" w:hAnsi="Calibri" w:eastAsia="仿宋_GB2312"/>
          <w:color w:val="auto"/>
          <w:sz w:val="28"/>
          <w:szCs w:val="28"/>
        </w:rPr>
        <w:t>参评者</w:t>
      </w:r>
      <w:r>
        <w:rPr>
          <w:rFonts w:ascii="Calibri" w:hAnsi="Calibri" w:eastAsia="仿宋_GB2312"/>
          <w:color w:val="auto"/>
          <w:sz w:val="28"/>
          <w:szCs w:val="28"/>
        </w:rPr>
        <w:t>，可继续参加评优</w:t>
      </w:r>
      <w:r>
        <w:rPr>
          <w:rFonts w:hint="eastAsia" w:ascii="Calibri" w:hAnsi="Calibri" w:eastAsia="仿宋_GB2312"/>
          <w:color w:val="auto"/>
          <w:sz w:val="28"/>
          <w:szCs w:val="28"/>
        </w:rPr>
        <w:t>评奖</w:t>
      </w:r>
      <w:r>
        <w:rPr>
          <w:rFonts w:ascii="Calibri" w:hAnsi="Calibri" w:eastAsia="仿宋_GB2312"/>
          <w:color w:val="auto"/>
          <w:sz w:val="28"/>
          <w:szCs w:val="28"/>
        </w:rPr>
        <w:t>的后续环节</w:t>
      </w:r>
      <w:r>
        <w:rPr>
          <w:rFonts w:hint="eastAsia" w:ascii="Calibri" w:hAnsi="Calibri" w:eastAsia="仿宋_GB2312"/>
          <w:color w:val="auto"/>
          <w:sz w:val="28"/>
          <w:szCs w:val="28"/>
        </w:rPr>
        <w:t>。</w:t>
      </w:r>
      <w:r>
        <w:rPr>
          <w:rFonts w:ascii="Calibri" w:hAnsi="Calibri" w:eastAsia="仿宋_GB2312"/>
          <w:color w:val="auto"/>
          <w:sz w:val="28"/>
          <w:szCs w:val="28"/>
        </w:rPr>
        <w:t>不合格者</w:t>
      </w:r>
      <w:r>
        <w:rPr>
          <w:rFonts w:hint="eastAsia" w:ascii="Calibri" w:hAnsi="Calibri" w:eastAsia="仿宋_GB2312"/>
          <w:color w:val="auto"/>
          <w:sz w:val="28"/>
          <w:szCs w:val="28"/>
        </w:rPr>
        <w:t>取消</w:t>
      </w:r>
      <w:r>
        <w:rPr>
          <w:rFonts w:ascii="Calibri" w:hAnsi="Calibri" w:eastAsia="仿宋_GB2312"/>
          <w:color w:val="auto"/>
          <w:sz w:val="28"/>
          <w:szCs w:val="28"/>
        </w:rPr>
        <w:t>该</w:t>
      </w:r>
      <w:r>
        <w:rPr>
          <w:rFonts w:hint="eastAsia" w:ascii="Calibri" w:hAnsi="Calibri" w:eastAsia="仿宋_GB2312"/>
          <w:color w:val="auto"/>
          <w:sz w:val="28"/>
          <w:szCs w:val="28"/>
        </w:rPr>
        <w:t>生</w:t>
      </w:r>
      <w:r>
        <w:rPr>
          <w:rFonts w:ascii="Calibri" w:hAnsi="Calibri" w:eastAsia="仿宋_GB2312"/>
          <w:color w:val="auto"/>
          <w:sz w:val="28"/>
          <w:szCs w:val="28"/>
        </w:rPr>
        <w:t>参评资格。</w:t>
      </w:r>
    </w:p>
    <w:p w14:paraId="139AEDCF">
      <w:pPr>
        <w:spacing w:line="360" w:lineRule="auto"/>
        <w:rPr>
          <w:rFonts w:ascii="宋体"/>
          <w:color w:val="auto"/>
          <w:sz w:val="24"/>
        </w:rPr>
      </w:pPr>
      <w:r>
        <w:rPr>
          <w:rFonts w:hint="eastAsia" w:ascii="仿宋_GB2312" w:eastAsia="仿宋_GB2312"/>
          <w:b/>
          <w:color w:val="auto"/>
          <w:sz w:val="32"/>
        </w:rPr>
        <w:t>二、科研能力计分</w:t>
      </w:r>
    </w:p>
    <w:p w14:paraId="72896007">
      <w:pPr>
        <w:spacing w:line="360" w:lineRule="auto"/>
        <w:rPr>
          <w:rFonts w:ascii="宋体" w:hAnsi="宋体"/>
          <w:color w:val="auto"/>
          <w:sz w:val="24"/>
        </w:rPr>
      </w:pPr>
      <w:r>
        <w:rPr>
          <w:rFonts w:hint="eastAsia" w:ascii="宋体" w:hAnsi="宋体"/>
          <w:color w:val="auto"/>
          <w:sz w:val="24"/>
          <w:lang w:val="en-US" w:eastAsia="zh-CN"/>
        </w:rPr>
        <w:t>1</w:t>
      </w:r>
      <w:r>
        <w:rPr>
          <w:rFonts w:hint="eastAsia" w:ascii="宋体" w:hAnsi="宋体"/>
          <w:color w:val="auto"/>
          <w:sz w:val="24"/>
        </w:rPr>
        <w:t>、论文著作得分：</w:t>
      </w:r>
    </w:p>
    <w:p w14:paraId="32BE2D5D">
      <w:pPr>
        <w:spacing w:line="360" w:lineRule="auto"/>
        <w:rPr>
          <w:rFonts w:ascii="宋体" w:hAnsi="宋体"/>
          <w:color w:val="auto"/>
          <w:sz w:val="24"/>
        </w:rPr>
      </w:pPr>
      <w:r>
        <w:rPr>
          <w:rFonts w:hint="eastAsia" w:ascii="宋体" w:hAnsi="宋体"/>
          <w:color w:val="auto"/>
          <w:sz w:val="24"/>
        </w:rPr>
        <w:t>（1）论文</w:t>
      </w:r>
    </w:p>
    <w:tbl>
      <w:tblPr>
        <w:tblStyle w:val="6"/>
        <w:tblW w:w="8931"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5244"/>
        <w:gridCol w:w="1134"/>
        <w:gridCol w:w="1701"/>
      </w:tblGrid>
      <w:tr w14:paraId="1010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52" w:type="dxa"/>
          </w:tcPr>
          <w:p w14:paraId="275AD2AD">
            <w:pPr>
              <w:spacing w:line="300" w:lineRule="auto"/>
              <w:rPr>
                <w:rFonts w:ascii="宋体"/>
                <w:color w:val="auto"/>
                <w:sz w:val="24"/>
              </w:rPr>
            </w:pPr>
            <w:r>
              <w:rPr>
                <w:rFonts w:hint="eastAsia" w:ascii="宋体" w:hAnsi="宋体"/>
                <w:color w:val="auto"/>
                <w:sz w:val="24"/>
              </w:rPr>
              <w:t>序号</w:t>
            </w:r>
          </w:p>
        </w:tc>
        <w:tc>
          <w:tcPr>
            <w:tcW w:w="5244" w:type="dxa"/>
          </w:tcPr>
          <w:p w14:paraId="7596B710">
            <w:pPr>
              <w:spacing w:line="300" w:lineRule="auto"/>
              <w:rPr>
                <w:rFonts w:ascii="宋体"/>
                <w:color w:val="auto"/>
                <w:sz w:val="24"/>
              </w:rPr>
            </w:pPr>
            <w:r>
              <w:rPr>
                <w:rFonts w:hint="eastAsia" w:ascii="宋体" w:hAnsi="宋体"/>
                <w:color w:val="auto"/>
                <w:sz w:val="24"/>
              </w:rPr>
              <w:t>论文</w:t>
            </w:r>
          </w:p>
        </w:tc>
        <w:tc>
          <w:tcPr>
            <w:tcW w:w="1134" w:type="dxa"/>
          </w:tcPr>
          <w:p w14:paraId="7A2AAD4A">
            <w:pPr>
              <w:spacing w:line="300" w:lineRule="auto"/>
              <w:rPr>
                <w:rFonts w:ascii="宋体"/>
                <w:color w:val="auto"/>
                <w:sz w:val="24"/>
              </w:rPr>
            </w:pPr>
            <w:r>
              <w:rPr>
                <w:rFonts w:hint="eastAsia" w:ascii="宋体" w:hAnsi="宋体"/>
                <w:color w:val="auto"/>
                <w:sz w:val="24"/>
              </w:rPr>
              <w:t>得分</w:t>
            </w:r>
          </w:p>
        </w:tc>
        <w:tc>
          <w:tcPr>
            <w:tcW w:w="1701" w:type="dxa"/>
          </w:tcPr>
          <w:p w14:paraId="2B09170D">
            <w:pPr>
              <w:spacing w:line="300" w:lineRule="auto"/>
              <w:rPr>
                <w:rFonts w:ascii="宋体"/>
                <w:b/>
                <w:color w:val="auto"/>
                <w:sz w:val="24"/>
              </w:rPr>
            </w:pPr>
            <w:r>
              <w:rPr>
                <w:rFonts w:hint="eastAsia" w:ascii="宋体" w:hAnsi="宋体"/>
                <w:b/>
                <w:color w:val="auto"/>
                <w:sz w:val="24"/>
              </w:rPr>
              <w:t>备注</w:t>
            </w:r>
          </w:p>
        </w:tc>
      </w:tr>
      <w:tr w14:paraId="6A9C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852" w:type="dxa"/>
          </w:tcPr>
          <w:p w14:paraId="0561A928">
            <w:pPr>
              <w:spacing w:line="300" w:lineRule="auto"/>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w:t>
            </w:r>
          </w:p>
        </w:tc>
        <w:tc>
          <w:tcPr>
            <w:tcW w:w="5244" w:type="dxa"/>
          </w:tcPr>
          <w:p w14:paraId="3ACC8265">
            <w:pPr>
              <w:spacing w:line="300" w:lineRule="auto"/>
              <w:rPr>
                <w:rFonts w:ascii="宋体"/>
                <w:color w:val="auto"/>
                <w:sz w:val="24"/>
              </w:rPr>
            </w:pPr>
            <w:r>
              <w:rPr>
                <w:rFonts w:ascii="宋体" w:hAnsi="宋体"/>
                <w:color w:val="auto"/>
                <w:sz w:val="24"/>
              </w:rPr>
              <w:t>SCI</w:t>
            </w:r>
            <w:r>
              <w:rPr>
                <w:rFonts w:hint="eastAsia" w:ascii="宋体" w:hAnsi="宋体"/>
                <w:color w:val="auto"/>
                <w:sz w:val="24"/>
              </w:rPr>
              <w:t>、</w:t>
            </w:r>
            <w:r>
              <w:rPr>
                <w:rFonts w:ascii="宋体" w:hAnsi="宋体"/>
                <w:color w:val="auto"/>
                <w:sz w:val="24"/>
              </w:rPr>
              <w:t>SSCI</w:t>
            </w:r>
            <w:r>
              <w:rPr>
                <w:rFonts w:hint="eastAsia" w:ascii="宋体" w:hAnsi="宋体"/>
                <w:color w:val="auto"/>
                <w:sz w:val="24"/>
              </w:rPr>
              <w:t>、</w:t>
            </w:r>
            <w:r>
              <w:rPr>
                <w:rFonts w:ascii="宋体" w:hAnsi="宋体"/>
                <w:color w:val="auto"/>
                <w:sz w:val="24"/>
              </w:rPr>
              <w:t>A&amp;HC</w:t>
            </w:r>
            <w:r>
              <w:rPr>
                <w:rFonts w:hint="eastAsia" w:ascii="宋体" w:hAnsi="宋体"/>
                <w:color w:val="auto"/>
                <w:sz w:val="24"/>
              </w:rPr>
              <w:t>上发表本专业研究论文</w:t>
            </w:r>
          </w:p>
        </w:tc>
        <w:tc>
          <w:tcPr>
            <w:tcW w:w="1134" w:type="dxa"/>
          </w:tcPr>
          <w:p w14:paraId="07F5D203">
            <w:pPr>
              <w:spacing w:line="300" w:lineRule="auto"/>
              <w:rPr>
                <w:rFonts w:ascii="宋体"/>
                <w:color w:val="auto"/>
                <w:sz w:val="24"/>
              </w:rPr>
            </w:pPr>
            <w:r>
              <w:rPr>
                <w:rFonts w:hint="eastAsia" w:ascii="宋体" w:hAnsi="宋体"/>
                <w:color w:val="auto"/>
                <w:sz w:val="24"/>
              </w:rPr>
              <w:t>×25分</w:t>
            </w:r>
          </w:p>
        </w:tc>
        <w:tc>
          <w:tcPr>
            <w:tcW w:w="1701" w:type="dxa"/>
            <w:vMerge w:val="restart"/>
          </w:tcPr>
          <w:p w14:paraId="3633ACF6">
            <w:pPr>
              <w:spacing w:line="300" w:lineRule="auto"/>
              <w:rPr>
                <w:rFonts w:ascii="宋体"/>
                <w:color w:val="auto"/>
                <w:sz w:val="18"/>
                <w:szCs w:val="18"/>
              </w:rPr>
            </w:pPr>
            <w:r>
              <w:rPr>
                <w:rFonts w:ascii="宋体" w:hAnsi="宋体"/>
                <w:color w:val="auto"/>
                <w:sz w:val="18"/>
                <w:szCs w:val="18"/>
              </w:rPr>
              <w:t>1.</w:t>
            </w:r>
            <w:r>
              <w:rPr>
                <w:rFonts w:hint="eastAsia" w:ascii="宋体" w:hAnsi="宋体"/>
                <w:color w:val="auto"/>
                <w:sz w:val="18"/>
                <w:szCs w:val="18"/>
              </w:rPr>
              <w:t>以上论文均为</w:t>
            </w:r>
            <w:r>
              <w:rPr>
                <w:rFonts w:hint="eastAsia" w:ascii="宋体" w:hAnsi="宋体"/>
                <w:color w:val="auto"/>
                <w:sz w:val="18"/>
                <w:szCs w:val="18"/>
                <w:u w:val="single"/>
              </w:rPr>
              <w:t>本专业研究论文</w:t>
            </w:r>
            <w:r>
              <w:rPr>
                <w:rFonts w:ascii="宋体"/>
                <w:color w:val="auto"/>
                <w:sz w:val="18"/>
                <w:szCs w:val="18"/>
              </w:rPr>
              <w:t>,</w:t>
            </w:r>
            <w:r>
              <w:rPr>
                <w:rFonts w:hint="eastAsia" w:ascii="宋体" w:hAnsi="宋体"/>
                <w:color w:val="auto"/>
                <w:sz w:val="18"/>
                <w:szCs w:val="18"/>
              </w:rPr>
              <w:t>且</w:t>
            </w:r>
            <w:r>
              <w:rPr>
                <w:rFonts w:hint="eastAsia" w:ascii="宋体" w:hAnsi="宋体"/>
                <w:color w:val="auto"/>
                <w:sz w:val="18"/>
                <w:szCs w:val="18"/>
                <w:u w:val="single"/>
              </w:rPr>
              <w:t>第一作者</w:t>
            </w:r>
            <w:r>
              <w:rPr>
                <w:rFonts w:ascii="宋体" w:hAnsi="宋体"/>
                <w:color w:val="auto"/>
                <w:sz w:val="18"/>
                <w:szCs w:val="18"/>
                <w:u w:val="single"/>
              </w:rPr>
              <w:t xml:space="preserve"> </w:t>
            </w:r>
            <w:r>
              <w:rPr>
                <w:rFonts w:ascii="宋体" w:hAnsi="宋体"/>
                <w:color w:val="auto"/>
                <w:sz w:val="18"/>
                <w:szCs w:val="18"/>
              </w:rPr>
              <w:t>(</w:t>
            </w:r>
            <w:r>
              <w:rPr>
                <w:rFonts w:hint="eastAsia" w:ascii="宋体" w:hAnsi="宋体"/>
                <w:color w:val="auto"/>
                <w:sz w:val="18"/>
                <w:szCs w:val="18"/>
              </w:rPr>
              <w:t>本院系指导老师第一、学生第二作者发表的论文可算作学生为第一作者</w:t>
            </w:r>
            <w:r>
              <w:rPr>
                <w:rFonts w:ascii="宋体" w:hAnsi="宋体"/>
                <w:color w:val="auto"/>
                <w:sz w:val="18"/>
                <w:szCs w:val="18"/>
              </w:rPr>
              <w:t xml:space="preserve">. </w:t>
            </w:r>
          </w:p>
          <w:p w14:paraId="79E8AE19">
            <w:pPr>
              <w:spacing w:line="300" w:lineRule="auto"/>
              <w:rPr>
                <w:rFonts w:ascii="宋体"/>
                <w:color w:val="auto"/>
                <w:sz w:val="18"/>
                <w:szCs w:val="18"/>
              </w:rPr>
            </w:pPr>
            <w:r>
              <w:rPr>
                <w:rFonts w:ascii="宋体"/>
                <w:color w:val="auto"/>
                <w:sz w:val="18"/>
                <w:szCs w:val="18"/>
              </w:rPr>
              <w:t>2.</w:t>
            </w:r>
            <w:r>
              <w:rPr>
                <w:rFonts w:hint="eastAsia" w:ascii="宋体"/>
                <w:color w:val="auto"/>
                <w:sz w:val="18"/>
                <w:szCs w:val="18"/>
              </w:rPr>
              <w:t>文章获得期刊重点推荐（封面）可再加分</w:t>
            </w:r>
            <w:r>
              <w:rPr>
                <w:rFonts w:ascii="宋体"/>
                <w:color w:val="auto"/>
                <w:sz w:val="18"/>
                <w:szCs w:val="18"/>
              </w:rPr>
              <w:t>+1</w:t>
            </w:r>
            <w:r>
              <w:rPr>
                <w:rFonts w:hint="eastAsia" w:ascii="宋体"/>
                <w:color w:val="auto"/>
                <w:sz w:val="18"/>
                <w:szCs w:val="18"/>
              </w:rPr>
              <w:t>分；</w:t>
            </w:r>
          </w:p>
          <w:p w14:paraId="38DEDFAA">
            <w:pPr>
              <w:spacing w:line="300" w:lineRule="auto"/>
              <w:rPr>
                <w:rFonts w:ascii="宋体"/>
                <w:color w:val="auto"/>
                <w:sz w:val="18"/>
                <w:szCs w:val="18"/>
              </w:rPr>
            </w:pPr>
            <w:r>
              <w:rPr>
                <w:rFonts w:ascii="宋体"/>
                <w:color w:val="auto"/>
                <w:sz w:val="18"/>
                <w:szCs w:val="18"/>
              </w:rPr>
              <w:t>3.</w:t>
            </w:r>
            <w:r>
              <w:rPr>
                <w:rFonts w:hint="eastAsia" w:ascii="宋体"/>
                <w:color w:val="auto"/>
                <w:sz w:val="18"/>
                <w:szCs w:val="18"/>
              </w:rPr>
              <w:t>参加国际学术会议最高得分不得超过6分，在分组会议上宣读论文分数减半计入；</w:t>
            </w:r>
          </w:p>
          <w:p w14:paraId="6BFF23D9">
            <w:pPr>
              <w:spacing w:line="300" w:lineRule="auto"/>
              <w:rPr>
                <w:rFonts w:ascii="宋体"/>
                <w:color w:val="auto"/>
                <w:sz w:val="18"/>
                <w:szCs w:val="18"/>
              </w:rPr>
            </w:pPr>
            <w:r>
              <w:rPr>
                <w:rFonts w:hint="eastAsia" w:ascii="宋体"/>
                <w:color w:val="auto"/>
                <w:sz w:val="18"/>
                <w:szCs w:val="18"/>
              </w:rPr>
              <w:t>4．论文以第三作者出现，不计分</w:t>
            </w:r>
          </w:p>
          <w:p w14:paraId="7FC84056">
            <w:pPr>
              <w:spacing w:line="300" w:lineRule="auto"/>
              <w:rPr>
                <w:rFonts w:ascii="宋体"/>
                <w:color w:val="auto"/>
                <w:sz w:val="18"/>
                <w:szCs w:val="18"/>
              </w:rPr>
            </w:pPr>
            <w:r>
              <w:rPr>
                <w:rFonts w:hint="eastAsia" w:ascii="宋体"/>
                <w:color w:val="auto"/>
                <w:sz w:val="18"/>
                <w:szCs w:val="18"/>
              </w:rPr>
              <w:t>5</w:t>
            </w:r>
            <w:r>
              <w:rPr>
                <w:rFonts w:ascii="宋体"/>
                <w:color w:val="auto"/>
                <w:sz w:val="18"/>
                <w:szCs w:val="18"/>
              </w:rPr>
              <w:t>.</w:t>
            </w:r>
            <w:r>
              <w:rPr>
                <w:rFonts w:hint="eastAsia" w:ascii="宋体"/>
                <w:color w:val="auto"/>
                <w:sz w:val="18"/>
                <w:szCs w:val="18"/>
              </w:rPr>
              <w:t>翻译文献的计分方案在参考综述计分基础上，正常分数减半计入。</w:t>
            </w:r>
          </w:p>
        </w:tc>
      </w:tr>
      <w:tr w14:paraId="7281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52" w:type="dxa"/>
          </w:tcPr>
          <w:p w14:paraId="17AE5E42">
            <w:pPr>
              <w:spacing w:line="300" w:lineRule="auto"/>
              <w:rPr>
                <w:rFonts w:asci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w:t>
            </w:r>
          </w:p>
        </w:tc>
        <w:tc>
          <w:tcPr>
            <w:tcW w:w="5244" w:type="dxa"/>
          </w:tcPr>
          <w:p w14:paraId="149C8903">
            <w:pPr>
              <w:spacing w:line="300" w:lineRule="auto"/>
              <w:rPr>
                <w:rFonts w:ascii="宋体"/>
                <w:color w:val="auto"/>
                <w:sz w:val="24"/>
              </w:rPr>
            </w:pPr>
            <w:r>
              <w:rPr>
                <w:rFonts w:hint="eastAsia" w:ascii="宋体" w:hAnsi="宋体"/>
                <w:color w:val="auto"/>
                <w:sz w:val="24"/>
              </w:rPr>
              <w:t>《中国社会科学》上发表本专业研究论文</w:t>
            </w:r>
          </w:p>
        </w:tc>
        <w:tc>
          <w:tcPr>
            <w:tcW w:w="1134" w:type="dxa"/>
          </w:tcPr>
          <w:p w14:paraId="49841761">
            <w:pPr>
              <w:spacing w:line="300" w:lineRule="auto"/>
              <w:rPr>
                <w:rFonts w:ascii="宋体"/>
                <w:color w:val="auto"/>
                <w:sz w:val="24"/>
              </w:rPr>
            </w:pPr>
            <w:r>
              <w:rPr>
                <w:rFonts w:hint="eastAsia" w:ascii="宋体" w:hAnsi="宋体"/>
                <w:color w:val="auto"/>
                <w:sz w:val="24"/>
              </w:rPr>
              <w:t>×25分</w:t>
            </w:r>
          </w:p>
        </w:tc>
        <w:tc>
          <w:tcPr>
            <w:tcW w:w="1701" w:type="dxa"/>
            <w:vMerge w:val="continue"/>
          </w:tcPr>
          <w:p w14:paraId="219A9585">
            <w:pPr>
              <w:spacing w:line="300" w:lineRule="auto"/>
              <w:rPr>
                <w:rFonts w:ascii="宋体"/>
                <w:color w:val="auto"/>
                <w:sz w:val="24"/>
              </w:rPr>
            </w:pPr>
          </w:p>
        </w:tc>
      </w:tr>
      <w:tr w14:paraId="5D0D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52" w:type="dxa"/>
          </w:tcPr>
          <w:p w14:paraId="20AB8D69">
            <w:pPr>
              <w:spacing w:line="300" w:lineRule="auto"/>
              <w:rPr>
                <w:rFonts w:asci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w:t>
            </w:r>
          </w:p>
        </w:tc>
        <w:tc>
          <w:tcPr>
            <w:tcW w:w="5244" w:type="dxa"/>
          </w:tcPr>
          <w:p w14:paraId="48246B3F">
            <w:pPr>
              <w:spacing w:line="360" w:lineRule="auto"/>
              <w:rPr>
                <w:rFonts w:ascii="宋体"/>
                <w:color w:val="auto"/>
                <w:sz w:val="24"/>
              </w:rPr>
            </w:pPr>
            <w:r>
              <w:rPr>
                <w:rFonts w:hint="eastAsia" w:ascii="宋体" w:hAnsi="宋体"/>
                <w:color w:val="auto"/>
                <w:sz w:val="24"/>
              </w:rPr>
              <w:t>本专业一级学科最高学术期刊（《民族艺术》、《文艺研究》）上发表本专业研究论文</w:t>
            </w:r>
          </w:p>
        </w:tc>
        <w:tc>
          <w:tcPr>
            <w:tcW w:w="1134" w:type="dxa"/>
          </w:tcPr>
          <w:p w14:paraId="39D98D36">
            <w:pPr>
              <w:spacing w:line="300" w:lineRule="auto"/>
              <w:rPr>
                <w:rFonts w:ascii="宋体"/>
                <w:color w:val="auto"/>
                <w:sz w:val="24"/>
              </w:rPr>
            </w:pPr>
            <w:r>
              <w:rPr>
                <w:rFonts w:hint="eastAsia" w:ascii="宋体" w:hAnsi="宋体"/>
                <w:color w:val="auto"/>
                <w:sz w:val="24"/>
              </w:rPr>
              <w:t>×15分</w:t>
            </w:r>
          </w:p>
        </w:tc>
        <w:tc>
          <w:tcPr>
            <w:tcW w:w="1701" w:type="dxa"/>
            <w:vMerge w:val="continue"/>
          </w:tcPr>
          <w:p w14:paraId="18DF7BB0">
            <w:pPr>
              <w:spacing w:line="300" w:lineRule="auto"/>
              <w:rPr>
                <w:rFonts w:ascii="宋体"/>
                <w:color w:val="auto"/>
                <w:sz w:val="24"/>
              </w:rPr>
            </w:pPr>
          </w:p>
        </w:tc>
      </w:tr>
      <w:tr w14:paraId="70EE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52" w:type="dxa"/>
          </w:tcPr>
          <w:p w14:paraId="75C0E98E">
            <w:pPr>
              <w:spacing w:line="300" w:lineRule="auto"/>
              <w:rPr>
                <w:rFonts w:ascii="宋体"/>
                <w:color w:val="auto"/>
                <w:sz w:val="24"/>
              </w:rPr>
            </w:pPr>
            <w:r>
              <w:rPr>
                <w:rFonts w:hint="eastAsia" w:ascii="宋体" w:hAnsi="宋体"/>
                <w:color w:val="auto"/>
                <w:sz w:val="24"/>
              </w:rPr>
              <w:t>（</w:t>
            </w:r>
            <w:r>
              <w:rPr>
                <w:rFonts w:ascii="宋体" w:hAnsi="宋体"/>
                <w:color w:val="auto"/>
                <w:sz w:val="24"/>
              </w:rPr>
              <w:t>4</w:t>
            </w:r>
            <w:r>
              <w:rPr>
                <w:rFonts w:hint="eastAsia" w:ascii="宋体" w:hAnsi="宋体"/>
                <w:color w:val="auto"/>
                <w:sz w:val="24"/>
              </w:rPr>
              <w:t>）</w:t>
            </w:r>
          </w:p>
        </w:tc>
        <w:tc>
          <w:tcPr>
            <w:tcW w:w="5244" w:type="dxa"/>
          </w:tcPr>
          <w:p w14:paraId="4F4AE120">
            <w:pPr>
              <w:spacing w:line="300" w:lineRule="auto"/>
              <w:rPr>
                <w:rFonts w:ascii="宋体"/>
                <w:color w:val="auto"/>
                <w:sz w:val="24"/>
              </w:rPr>
            </w:pPr>
            <w:r>
              <w:rPr>
                <w:rFonts w:ascii="宋体" w:hAnsi="宋体"/>
                <w:color w:val="auto"/>
                <w:sz w:val="24"/>
              </w:rPr>
              <w:t>CSSCI</w:t>
            </w:r>
            <w:r>
              <w:rPr>
                <w:rFonts w:hint="eastAsia" w:ascii="宋体" w:hAnsi="宋体"/>
                <w:color w:val="auto"/>
                <w:sz w:val="24"/>
              </w:rPr>
              <w:t>、</w:t>
            </w:r>
            <w:r>
              <w:rPr>
                <w:rFonts w:ascii="宋体" w:hAnsi="宋体"/>
                <w:color w:val="auto"/>
                <w:sz w:val="24"/>
              </w:rPr>
              <w:t>EI</w:t>
            </w:r>
            <w:r>
              <w:rPr>
                <w:rFonts w:hint="eastAsia" w:ascii="宋体" w:hAnsi="宋体"/>
                <w:color w:val="auto"/>
                <w:sz w:val="24"/>
              </w:rPr>
              <w:t>、</w:t>
            </w:r>
            <w:r>
              <w:rPr>
                <w:rFonts w:ascii="宋体" w:hAnsi="宋体"/>
                <w:color w:val="auto"/>
                <w:sz w:val="24"/>
              </w:rPr>
              <w:t>CSCD</w:t>
            </w:r>
            <w:r>
              <w:rPr>
                <w:rFonts w:hint="eastAsia" w:ascii="宋体" w:hAnsi="宋体"/>
                <w:color w:val="auto"/>
                <w:sz w:val="24"/>
              </w:rPr>
              <w:t>发表本专业研究论文</w:t>
            </w:r>
          </w:p>
        </w:tc>
        <w:tc>
          <w:tcPr>
            <w:tcW w:w="1134" w:type="dxa"/>
          </w:tcPr>
          <w:p w14:paraId="794C6BC4">
            <w:pPr>
              <w:spacing w:line="300" w:lineRule="auto"/>
              <w:rPr>
                <w:rFonts w:ascii="宋体"/>
                <w:color w:val="auto"/>
                <w:sz w:val="24"/>
              </w:rPr>
            </w:pPr>
            <w:r>
              <w:rPr>
                <w:rFonts w:hint="eastAsia" w:ascii="宋体" w:hAnsi="宋体"/>
                <w:color w:val="auto"/>
                <w:sz w:val="24"/>
              </w:rPr>
              <w:t>×10分</w:t>
            </w:r>
          </w:p>
        </w:tc>
        <w:tc>
          <w:tcPr>
            <w:tcW w:w="1701" w:type="dxa"/>
            <w:vMerge w:val="continue"/>
          </w:tcPr>
          <w:p w14:paraId="6FF96E5D">
            <w:pPr>
              <w:spacing w:line="300" w:lineRule="auto"/>
              <w:rPr>
                <w:rFonts w:ascii="宋体"/>
                <w:color w:val="auto"/>
                <w:sz w:val="24"/>
              </w:rPr>
            </w:pPr>
          </w:p>
        </w:tc>
      </w:tr>
      <w:tr w14:paraId="6B46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52" w:type="dxa"/>
          </w:tcPr>
          <w:p w14:paraId="7C6C6E4F">
            <w:pPr>
              <w:spacing w:line="300" w:lineRule="auto"/>
              <w:rPr>
                <w:rFonts w:ascii="宋体"/>
                <w:color w:val="auto"/>
                <w:sz w:val="24"/>
              </w:rPr>
            </w:pPr>
            <w:r>
              <w:rPr>
                <w:rFonts w:hint="eastAsia" w:ascii="宋体" w:hAnsi="宋体"/>
                <w:color w:val="auto"/>
                <w:sz w:val="24"/>
              </w:rPr>
              <w:t>（</w:t>
            </w:r>
            <w:r>
              <w:rPr>
                <w:rFonts w:ascii="宋体" w:hAnsi="宋体"/>
                <w:color w:val="auto"/>
                <w:sz w:val="24"/>
              </w:rPr>
              <w:t>5</w:t>
            </w:r>
            <w:r>
              <w:rPr>
                <w:rFonts w:hint="eastAsia" w:ascii="宋体" w:hAnsi="宋体"/>
                <w:color w:val="auto"/>
                <w:sz w:val="24"/>
              </w:rPr>
              <w:t>）</w:t>
            </w:r>
          </w:p>
        </w:tc>
        <w:tc>
          <w:tcPr>
            <w:tcW w:w="5244" w:type="dxa"/>
          </w:tcPr>
          <w:p w14:paraId="0787FA2B">
            <w:pPr>
              <w:spacing w:line="300" w:lineRule="auto"/>
              <w:rPr>
                <w:rFonts w:ascii="宋体"/>
                <w:color w:val="auto"/>
                <w:sz w:val="24"/>
              </w:rPr>
            </w:pPr>
            <w:r>
              <w:rPr>
                <w:rFonts w:hint="eastAsia" w:ascii="宋体" w:hAnsi="宋体"/>
                <w:color w:val="auto"/>
                <w:sz w:val="24"/>
              </w:rPr>
              <w:t>中国中文核心期刊</w:t>
            </w:r>
          </w:p>
        </w:tc>
        <w:tc>
          <w:tcPr>
            <w:tcW w:w="1134" w:type="dxa"/>
          </w:tcPr>
          <w:p w14:paraId="0448A2D6">
            <w:pPr>
              <w:spacing w:line="300" w:lineRule="auto"/>
              <w:rPr>
                <w:rFonts w:ascii="宋体" w:hAnsi="宋体"/>
                <w:color w:val="auto"/>
                <w:sz w:val="24"/>
              </w:rPr>
            </w:pPr>
            <w:r>
              <w:rPr>
                <w:rFonts w:hint="eastAsia" w:ascii="宋体" w:hAnsi="宋体"/>
                <w:color w:val="auto"/>
                <w:sz w:val="24"/>
              </w:rPr>
              <w:t>×6分</w:t>
            </w:r>
          </w:p>
        </w:tc>
        <w:tc>
          <w:tcPr>
            <w:tcW w:w="1701" w:type="dxa"/>
            <w:vMerge w:val="continue"/>
          </w:tcPr>
          <w:p w14:paraId="0F31051B">
            <w:pPr>
              <w:spacing w:line="300" w:lineRule="auto"/>
              <w:rPr>
                <w:rFonts w:ascii="宋体"/>
                <w:color w:val="auto"/>
                <w:sz w:val="24"/>
              </w:rPr>
            </w:pPr>
          </w:p>
        </w:tc>
      </w:tr>
      <w:tr w14:paraId="2852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852" w:type="dxa"/>
          </w:tcPr>
          <w:p w14:paraId="062F01E2">
            <w:pPr>
              <w:spacing w:line="300" w:lineRule="auto"/>
              <w:rPr>
                <w:rFonts w:ascii="宋体"/>
                <w:color w:val="auto"/>
                <w:sz w:val="24"/>
              </w:rPr>
            </w:pPr>
            <w:r>
              <w:rPr>
                <w:rFonts w:hint="eastAsia" w:ascii="宋体" w:hAnsi="宋体"/>
                <w:color w:val="auto"/>
                <w:sz w:val="24"/>
              </w:rPr>
              <w:t>（</w:t>
            </w:r>
            <w:r>
              <w:rPr>
                <w:rFonts w:ascii="宋体" w:hAnsi="宋体"/>
                <w:color w:val="auto"/>
                <w:sz w:val="24"/>
              </w:rPr>
              <w:t>6</w:t>
            </w:r>
            <w:r>
              <w:rPr>
                <w:rFonts w:hint="eastAsia" w:ascii="宋体" w:hAnsi="宋体"/>
                <w:color w:val="auto"/>
                <w:sz w:val="24"/>
              </w:rPr>
              <w:t>）</w:t>
            </w:r>
          </w:p>
        </w:tc>
        <w:tc>
          <w:tcPr>
            <w:tcW w:w="5244" w:type="dxa"/>
          </w:tcPr>
          <w:p w14:paraId="4541AFFD">
            <w:pPr>
              <w:spacing w:line="300" w:lineRule="auto"/>
              <w:rPr>
                <w:rFonts w:ascii="宋体"/>
                <w:color w:val="auto"/>
                <w:sz w:val="24"/>
              </w:rPr>
            </w:pPr>
            <w:r>
              <w:rPr>
                <w:rFonts w:hint="eastAsia" w:ascii="宋体" w:hAnsi="宋体"/>
                <w:color w:val="auto"/>
                <w:sz w:val="24"/>
              </w:rPr>
              <w:t>国际会议上宣读论文</w:t>
            </w:r>
          </w:p>
        </w:tc>
        <w:tc>
          <w:tcPr>
            <w:tcW w:w="1134" w:type="dxa"/>
          </w:tcPr>
          <w:p w14:paraId="1AD55D16">
            <w:pPr>
              <w:spacing w:line="300" w:lineRule="auto"/>
              <w:rPr>
                <w:rFonts w:ascii="宋体" w:hAnsi="宋体"/>
                <w:color w:val="auto"/>
                <w:sz w:val="24"/>
              </w:rPr>
            </w:pPr>
            <w:r>
              <w:rPr>
                <w:rFonts w:hint="eastAsia" w:ascii="宋体" w:hAnsi="宋体"/>
                <w:color w:val="auto"/>
                <w:sz w:val="24"/>
              </w:rPr>
              <w:t>×3分</w:t>
            </w:r>
          </w:p>
        </w:tc>
        <w:tc>
          <w:tcPr>
            <w:tcW w:w="1701" w:type="dxa"/>
            <w:vMerge w:val="continue"/>
          </w:tcPr>
          <w:p w14:paraId="7D11FE58">
            <w:pPr>
              <w:spacing w:line="300" w:lineRule="auto"/>
              <w:rPr>
                <w:rFonts w:ascii="宋体"/>
                <w:color w:val="auto"/>
                <w:sz w:val="24"/>
              </w:rPr>
            </w:pPr>
          </w:p>
        </w:tc>
      </w:tr>
      <w:tr w14:paraId="54AFB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852" w:type="dxa"/>
          </w:tcPr>
          <w:p w14:paraId="7AFEFA62">
            <w:pPr>
              <w:spacing w:line="300" w:lineRule="auto"/>
              <w:rPr>
                <w:rFonts w:ascii="宋体"/>
                <w:color w:val="auto"/>
                <w:sz w:val="24"/>
              </w:rPr>
            </w:pPr>
            <w:r>
              <w:rPr>
                <w:rFonts w:hint="eastAsia" w:ascii="宋体" w:hAnsi="宋体"/>
                <w:color w:val="auto"/>
                <w:sz w:val="24"/>
              </w:rPr>
              <w:t>（</w:t>
            </w:r>
            <w:r>
              <w:rPr>
                <w:rFonts w:ascii="宋体" w:hAnsi="宋体"/>
                <w:color w:val="auto"/>
                <w:sz w:val="24"/>
              </w:rPr>
              <w:t>7</w:t>
            </w:r>
            <w:r>
              <w:rPr>
                <w:rFonts w:hint="eastAsia" w:ascii="宋体" w:hAnsi="宋体"/>
                <w:color w:val="auto"/>
                <w:sz w:val="24"/>
              </w:rPr>
              <w:t>）</w:t>
            </w:r>
          </w:p>
        </w:tc>
        <w:tc>
          <w:tcPr>
            <w:tcW w:w="5244" w:type="dxa"/>
          </w:tcPr>
          <w:p w14:paraId="08A35DD8">
            <w:pPr>
              <w:spacing w:line="300" w:lineRule="auto"/>
              <w:rPr>
                <w:rFonts w:ascii="宋体"/>
                <w:color w:val="auto"/>
                <w:sz w:val="24"/>
              </w:rPr>
            </w:pPr>
            <w:r>
              <w:rPr>
                <w:rFonts w:ascii="宋体" w:hAnsi="宋体"/>
                <w:color w:val="auto"/>
                <w:sz w:val="24"/>
              </w:rPr>
              <w:t>CSSCI</w:t>
            </w:r>
            <w:r>
              <w:rPr>
                <w:rFonts w:hint="eastAsia" w:ascii="宋体" w:hAnsi="宋体"/>
                <w:color w:val="auto"/>
                <w:sz w:val="24"/>
              </w:rPr>
              <w:t>、</w:t>
            </w:r>
            <w:r>
              <w:rPr>
                <w:rFonts w:ascii="宋体" w:hAnsi="宋体"/>
                <w:color w:val="auto"/>
                <w:sz w:val="24"/>
              </w:rPr>
              <w:t>EI</w:t>
            </w:r>
            <w:r>
              <w:rPr>
                <w:rFonts w:hint="eastAsia" w:ascii="宋体" w:hAnsi="宋体"/>
                <w:color w:val="auto"/>
                <w:sz w:val="24"/>
              </w:rPr>
              <w:t>、</w:t>
            </w:r>
            <w:r>
              <w:rPr>
                <w:rFonts w:ascii="宋体" w:hAnsi="宋体"/>
                <w:color w:val="auto"/>
                <w:sz w:val="24"/>
              </w:rPr>
              <w:t>CSCD</w:t>
            </w:r>
            <w:r>
              <w:rPr>
                <w:rFonts w:hint="eastAsia" w:ascii="宋体" w:hAnsi="宋体"/>
                <w:color w:val="auto"/>
                <w:sz w:val="24"/>
              </w:rPr>
              <w:t>之增刊或省级以上刊物发表的本专业研究论文或在全国性学术会上宣读论文</w:t>
            </w:r>
          </w:p>
        </w:tc>
        <w:tc>
          <w:tcPr>
            <w:tcW w:w="1134" w:type="dxa"/>
          </w:tcPr>
          <w:p w14:paraId="11C26E3B">
            <w:pPr>
              <w:spacing w:line="300" w:lineRule="auto"/>
              <w:rPr>
                <w:rFonts w:ascii="宋体" w:hAnsi="宋体"/>
                <w:color w:val="auto"/>
                <w:sz w:val="24"/>
              </w:rPr>
            </w:pPr>
            <w:r>
              <w:rPr>
                <w:rFonts w:hint="eastAsia" w:ascii="宋体" w:hAnsi="宋体"/>
                <w:color w:val="auto"/>
                <w:sz w:val="24"/>
              </w:rPr>
              <w:t>×2分</w:t>
            </w:r>
          </w:p>
        </w:tc>
        <w:tc>
          <w:tcPr>
            <w:tcW w:w="1701" w:type="dxa"/>
            <w:vMerge w:val="continue"/>
          </w:tcPr>
          <w:p w14:paraId="539A36A5">
            <w:pPr>
              <w:spacing w:line="300" w:lineRule="auto"/>
              <w:rPr>
                <w:rFonts w:ascii="宋体"/>
                <w:color w:val="auto"/>
                <w:sz w:val="24"/>
              </w:rPr>
            </w:pPr>
          </w:p>
        </w:tc>
      </w:tr>
      <w:tr w14:paraId="5E67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852" w:type="dxa"/>
          </w:tcPr>
          <w:p w14:paraId="0B6B8888">
            <w:pPr>
              <w:spacing w:line="300" w:lineRule="auto"/>
              <w:rPr>
                <w:rFonts w:ascii="宋体"/>
                <w:color w:val="auto"/>
                <w:sz w:val="24"/>
              </w:rPr>
            </w:pPr>
            <w:r>
              <w:rPr>
                <w:rFonts w:hint="eastAsia" w:ascii="宋体" w:hAnsi="宋体"/>
                <w:color w:val="auto"/>
                <w:sz w:val="24"/>
              </w:rPr>
              <w:t>（</w:t>
            </w:r>
            <w:r>
              <w:rPr>
                <w:rFonts w:ascii="宋体" w:hAnsi="宋体"/>
                <w:color w:val="auto"/>
                <w:sz w:val="24"/>
              </w:rPr>
              <w:t>8</w:t>
            </w:r>
            <w:r>
              <w:rPr>
                <w:rFonts w:hint="eastAsia" w:ascii="宋体" w:hAnsi="宋体"/>
                <w:color w:val="auto"/>
                <w:sz w:val="24"/>
              </w:rPr>
              <w:t>）</w:t>
            </w:r>
          </w:p>
        </w:tc>
        <w:tc>
          <w:tcPr>
            <w:tcW w:w="5244" w:type="dxa"/>
          </w:tcPr>
          <w:p w14:paraId="582DF442">
            <w:pPr>
              <w:spacing w:line="300" w:lineRule="auto"/>
              <w:rPr>
                <w:rFonts w:ascii="宋体"/>
                <w:color w:val="auto"/>
                <w:sz w:val="24"/>
              </w:rPr>
            </w:pPr>
            <w:r>
              <w:rPr>
                <w:rFonts w:hint="eastAsia" w:ascii="宋体" w:hAnsi="宋体"/>
                <w:color w:val="auto"/>
                <w:sz w:val="24"/>
              </w:rPr>
              <w:t>中国中文核心期刊之增刊发表的本专业研究论文或校内学术论文评为优秀或入选国内研究生论坛并汇报</w:t>
            </w:r>
          </w:p>
        </w:tc>
        <w:tc>
          <w:tcPr>
            <w:tcW w:w="1134" w:type="dxa"/>
          </w:tcPr>
          <w:p w14:paraId="29C781EF">
            <w:pPr>
              <w:spacing w:line="300" w:lineRule="auto"/>
              <w:rPr>
                <w:rFonts w:ascii="宋体" w:hAnsi="宋体"/>
                <w:color w:val="auto"/>
                <w:sz w:val="24"/>
              </w:rPr>
            </w:pPr>
            <w:r>
              <w:rPr>
                <w:rFonts w:hint="eastAsia" w:ascii="宋体" w:hAnsi="宋体"/>
                <w:color w:val="auto"/>
                <w:sz w:val="24"/>
              </w:rPr>
              <w:t>×1分</w:t>
            </w:r>
          </w:p>
        </w:tc>
        <w:tc>
          <w:tcPr>
            <w:tcW w:w="1701" w:type="dxa"/>
            <w:vMerge w:val="continue"/>
          </w:tcPr>
          <w:p w14:paraId="7581B024">
            <w:pPr>
              <w:spacing w:line="300" w:lineRule="auto"/>
              <w:rPr>
                <w:rFonts w:ascii="宋体"/>
                <w:color w:val="auto"/>
                <w:sz w:val="24"/>
              </w:rPr>
            </w:pPr>
          </w:p>
        </w:tc>
      </w:tr>
      <w:tr w14:paraId="60FE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852" w:type="dxa"/>
          </w:tcPr>
          <w:p w14:paraId="617ECFD8">
            <w:pPr>
              <w:spacing w:line="300" w:lineRule="auto"/>
              <w:rPr>
                <w:rFonts w:ascii="宋体"/>
                <w:color w:val="auto"/>
                <w:sz w:val="24"/>
              </w:rPr>
            </w:pPr>
            <w:r>
              <w:rPr>
                <w:rFonts w:hint="eastAsia" w:ascii="宋体" w:hAnsi="宋体"/>
                <w:color w:val="auto"/>
                <w:sz w:val="24"/>
              </w:rPr>
              <w:t>（</w:t>
            </w:r>
            <w:r>
              <w:rPr>
                <w:rFonts w:ascii="宋体" w:hAnsi="宋体"/>
                <w:color w:val="auto"/>
                <w:sz w:val="24"/>
              </w:rPr>
              <w:t>9</w:t>
            </w:r>
            <w:r>
              <w:rPr>
                <w:rFonts w:hint="eastAsia" w:ascii="宋体" w:hAnsi="宋体"/>
                <w:color w:val="auto"/>
                <w:sz w:val="24"/>
              </w:rPr>
              <w:t>）</w:t>
            </w:r>
          </w:p>
        </w:tc>
        <w:tc>
          <w:tcPr>
            <w:tcW w:w="5244" w:type="dxa"/>
          </w:tcPr>
          <w:p w14:paraId="60D28579">
            <w:pPr>
              <w:spacing w:line="300" w:lineRule="auto"/>
              <w:rPr>
                <w:rFonts w:ascii="宋体"/>
                <w:color w:val="auto"/>
                <w:sz w:val="24"/>
              </w:rPr>
            </w:pPr>
            <w:r>
              <w:rPr>
                <w:rFonts w:hint="eastAsia" w:ascii="宋体" w:hAnsi="宋体"/>
                <w:color w:val="auto"/>
                <w:sz w:val="24"/>
              </w:rPr>
              <w:t>论文被新华文摘转载</w:t>
            </w:r>
          </w:p>
        </w:tc>
        <w:tc>
          <w:tcPr>
            <w:tcW w:w="1134" w:type="dxa"/>
          </w:tcPr>
          <w:p w14:paraId="1C4B1D36">
            <w:pPr>
              <w:spacing w:line="300" w:lineRule="auto"/>
              <w:rPr>
                <w:rFonts w:ascii="宋体"/>
                <w:color w:val="auto"/>
                <w:sz w:val="24"/>
              </w:rPr>
            </w:pPr>
            <w:r>
              <w:rPr>
                <w:rFonts w:hint="eastAsia" w:ascii="宋体" w:hAnsi="宋体"/>
                <w:color w:val="auto"/>
                <w:sz w:val="24"/>
              </w:rPr>
              <w:t>×</w:t>
            </w:r>
            <w:r>
              <w:rPr>
                <w:rFonts w:ascii="宋体" w:hAnsi="宋体"/>
                <w:color w:val="auto"/>
                <w:sz w:val="24"/>
              </w:rPr>
              <w:t>8</w:t>
            </w:r>
            <w:r>
              <w:rPr>
                <w:rFonts w:hint="eastAsia" w:ascii="宋体" w:hAnsi="宋体"/>
                <w:color w:val="auto"/>
                <w:sz w:val="24"/>
              </w:rPr>
              <w:t>分</w:t>
            </w:r>
          </w:p>
        </w:tc>
        <w:tc>
          <w:tcPr>
            <w:tcW w:w="1701" w:type="dxa"/>
            <w:vMerge w:val="continue"/>
          </w:tcPr>
          <w:p w14:paraId="7D00C71B">
            <w:pPr>
              <w:spacing w:line="300" w:lineRule="auto"/>
              <w:rPr>
                <w:rFonts w:ascii="宋体"/>
                <w:color w:val="auto"/>
                <w:sz w:val="24"/>
              </w:rPr>
            </w:pPr>
          </w:p>
        </w:tc>
      </w:tr>
      <w:tr w14:paraId="1AAC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852" w:type="dxa"/>
          </w:tcPr>
          <w:p w14:paraId="1EBD0E6D">
            <w:pPr>
              <w:spacing w:line="300" w:lineRule="auto"/>
              <w:rPr>
                <w:rFonts w:ascii="宋体" w:hAnsi="宋体"/>
                <w:color w:val="auto"/>
                <w:sz w:val="24"/>
              </w:rPr>
            </w:pPr>
            <w:r>
              <w:rPr>
                <w:rFonts w:hint="eastAsia" w:ascii="宋体" w:hAnsi="宋体"/>
                <w:color w:val="auto"/>
                <w:sz w:val="24"/>
              </w:rPr>
              <w:t>（</w:t>
            </w:r>
            <w:r>
              <w:rPr>
                <w:rFonts w:ascii="宋体" w:hAnsi="宋体"/>
                <w:color w:val="auto"/>
                <w:sz w:val="24"/>
              </w:rPr>
              <w:t>1</w:t>
            </w:r>
            <w:r>
              <w:rPr>
                <w:rFonts w:ascii="宋体"/>
                <w:color w:val="auto"/>
                <w:sz w:val="24"/>
              </w:rPr>
              <w:t>0</w:t>
            </w:r>
            <w:r>
              <w:rPr>
                <w:rFonts w:hint="eastAsia" w:ascii="宋体" w:hAnsi="宋体"/>
                <w:color w:val="auto"/>
                <w:sz w:val="24"/>
              </w:rPr>
              <w:t>）</w:t>
            </w:r>
          </w:p>
        </w:tc>
        <w:tc>
          <w:tcPr>
            <w:tcW w:w="5244" w:type="dxa"/>
          </w:tcPr>
          <w:p w14:paraId="5EC19D5F">
            <w:pPr>
              <w:spacing w:line="300" w:lineRule="auto"/>
              <w:rPr>
                <w:rFonts w:ascii="宋体" w:hAnsi="宋体"/>
                <w:color w:val="auto"/>
                <w:sz w:val="24"/>
              </w:rPr>
            </w:pPr>
            <w:r>
              <w:rPr>
                <w:rFonts w:hint="eastAsia" w:ascii="宋体" w:hAnsi="宋体"/>
                <w:color w:val="auto"/>
                <w:sz w:val="24"/>
              </w:rPr>
              <w:t>论文被《中国社会科学文摘》全文转载</w:t>
            </w:r>
          </w:p>
        </w:tc>
        <w:tc>
          <w:tcPr>
            <w:tcW w:w="1134" w:type="dxa"/>
          </w:tcPr>
          <w:p w14:paraId="2D5BCF60">
            <w:pPr>
              <w:spacing w:line="300" w:lineRule="auto"/>
              <w:rPr>
                <w:rFonts w:ascii="宋体" w:hAnsi="宋体"/>
                <w:color w:val="auto"/>
                <w:sz w:val="24"/>
              </w:rPr>
            </w:pPr>
            <w:r>
              <w:rPr>
                <w:rFonts w:hint="eastAsia" w:ascii="宋体" w:hAnsi="宋体"/>
                <w:color w:val="auto"/>
                <w:sz w:val="24"/>
              </w:rPr>
              <w:t>×</w:t>
            </w:r>
            <w:r>
              <w:rPr>
                <w:rFonts w:ascii="宋体" w:hAnsi="宋体"/>
                <w:color w:val="auto"/>
                <w:sz w:val="24"/>
              </w:rPr>
              <w:t>6</w:t>
            </w:r>
            <w:r>
              <w:rPr>
                <w:rFonts w:hint="eastAsia" w:ascii="宋体" w:hAnsi="宋体"/>
                <w:color w:val="auto"/>
                <w:sz w:val="24"/>
              </w:rPr>
              <w:t>分</w:t>
            </w:r>
          </w:p>
        </w:tc>
        <w:tc>
          <w:tcPr>
            <w:tcW w:w="1701" w:type="dxa"/>
            <w:vMerge w:val="continue"/>
          </w:tcPr>
          <w:p w14:paraId="650AC724">
            <w:pPr>
              <w:spacing w:line="300" w:lineRule="auto"/>
              <w:rPr>
                <w:rFonts w:ascii="宋体"/>
                <w:color w:val="auto"/>
                <w:sz w:val="24"/>
              </w:rPr>
            </w:pPr>
          </w:p>
        </w:tc>
      </w:tr>
      <w:tr w14:paraId="1245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852" w:type="dxa"/>
          </w:tcPr>
          <w:p w14:paraId="5CD1EA28">
            <w:pPr>
              <w:spacing w:line="300" w:lineRule="auto"/>
              <w:rPr>
                <w:rFonts w:ascii="宋体"/>
                <w:color w:val="auto"/>
                <w:sz w:val="24"/>
              </w:rPr>
            </w:pPr>
            <w:r>
              <w:rPr>
                <w:rFonts w:hint="eastAsia" w:ascii="宋体" w:hAnsi="宋体"/>
                <w:color w:val="auto"/>
                <w:sz w:val="24"/>
              </w:rPr>
              <w:t>（</w:t>
            </w:r>
            <w:r>
              <w:rPr>
                <w:rFonts w:ascii="宋体" w:hAnsi="宋体"/>
                <w:color w:val="auto"/>
                <w:sz w:val="24"/>
              </w:rPr>
              <w:t>11</w:t>
            </w:r>
            <w:r>
              <w:rPr>
                <w:rFonts w:hint="eastAsia" w:ascii="宋体" w:hAnsi="宋体"/>
                <w:color w:val="auto"/>
                <w:sz w:val="24"/>
              </w:rPr>
              <w:t>）</w:t>
            </w:r>
          </w:p>
        </w:tc>
        <w:tc>
          <w:tcPr>
            <w:tcW w:w="5244" w:type="dxa"/>
          </w:tcPr>
          <w:p w14:paraId="759D4F7B">
            <w:pPr>
              <w:spacing w:line="300" w:lineRule="auto"/>
              <w:rPr>
                <w:rFonts w:ascii="宋体"/>
                <w:color w:val="auto"/>
                <w:sz w:val="24"/>
              </w:rPr>
            </w:pPr>
            <w:r>
              <w:rPr>
                <w:rFonts w:hint="eastAsia" w:ascii="宋体" w:hAnsi="宋体"/>
                <w:color w:val="auto"/>
                <w:sz w:val="24"/>
              </w:rPr>
              <w:t>论文被中国人民大学复印报刊资料、《高等学校文科学术文摘》全文转载或被《新华文摘》观点摘要</w:t>
            </w:r>
          </w:p>
        </w:tc>
        <w:tc>
          <w:tcPr>
            <w:tcW w:w="1134" w:type="dxa"/>
          </w:tcPr>
          <w:p w14:paraId="0A72A1D8">
            <w:pPr>
              <w:spacing w:line="300" w:lineRule="auto"/>
              <w:rPr>
                <w:rFonts w:ascii="宋体"/>
                <w:color w:val="auto"/>
                <w:sz w:val="24"/>
              </w:rPr>
            </w:pPr>
            <w:r>
              <w:rPr>
                <w:rFonts w:hint="eastAsia" w:ascii="宋体" w:hAnsi="宋体"/>
                <w:color w:val="auto"/>
                <w:sz w:val="24"/>
              </w:rPr>
              <w:t>×3分</w:t>
            </w:r>
          </w:p>
        </w:tc>
        <w:tc>
          <w:tcPr>
            <w:tcW w:w="1701" w:type="dxa"/>
            <w:vMerge w:val="continue"/>
          </w:tcPr>
          <w:p w14:paraId="03254C29">
            <w:pPr>
              <w:spacing w:line="300" w:lineRule="auto"/>
              <w:rPr>
                <w:rFonts w:ascii="宋体"/>
                <w:color w:val="auto"/>
                <w:sz w:val="24"/>
              </w:rPr>
            </w:pPr>
          </w:p>
        </w:tc>
      </w:tr>
      <w:tr w14:paraId="6B1F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52" w:type="dxa"/>
          </w:tcPr>
          <w:p w14:paraId="2EC2BCF4">
            <w:pPr>
              <w:spacing w:line="300" w:lineRule="auto"/>
              <w:rPr>
                <w:rFonts w:ascii="宋体" w:hAns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2）</w:t>
            </w:r>
          </w:p>
        </w:tc>
        <w:tc>
          <w:tcPr>
            <w:tcW w:w="5244" w:type="dxa"/>
          </w:tcPr>
          <w:p w14:paraId="459E835D">
            <w:pPr>
              <w:spacing w:line="300" w:lineRule="auto"/>
              <w:rPr>
                <w:rFonts w:ascii="宋体" w:hAnsi="宋体"/>
                <w:color w:val="auto"/>
                <w:sz w:val="24"/>
              </w:rPr>
            </w:pPr>
            <w:r>
              <w:rPr>
                <w:rFonts w:hint="eastAsia" w:ascii="宋体" w:hAnsi="宋体"/>
                <w:color w:val="auto"/>
                <w:sz w:val="24"/>
              </w:rPr>
              <w:t>论文被《中国社会科学文摘》观点摘要</w:t>
            </w:r>
          </w:p>
        </w:tc>
        <w:tc>
          <w:tcPr>
            <w:tcW w:w="1134" w:type="dxa"/>
          </w:tcPr>
          <w:p w14:paraId="257FEF18">
            <w:pPr>
              <w:spacing w:line="300" w:lineRule="auto"/>
              <w:rPr>
                <w:rFonts w:ascii="宋体" w:hAnsi="宋体"/>
                <w:color w:val="auto"/>
                <w:sz w:val="24"/>
              </w:rPr>
            </w:pPr>
            <w:r>
              <w:rPr>
                <w:rFonts w:hint="eastAsia" w:ascii="宋体" w:hAnsi="宋体"/>
                <w:color w:val="auto"/>
                <w:sz w:val="24"/>
              </w:rPr>
              <w:t>×2分</w:t>
            </w:r>
          </w:p>
        </w:tc>
        <w:tc>
          <w:tcPr>
            <w:tcW w:w="1701" w:type="dxa"/>
          </w:tcPr>
          <w:p w14:paraId="4871D27A">
            <w:pPr>
              <w:rPr>
                <w:rFonts w:ascii="宋体" w:hAnsi="宋体"/>
                <w:color w:val="auto"/>
                <w:sz w:val="20"/>
              </w:rPr>
            </w:pPr>
          </w:p>
        </w:tc>
      </w:tr>
    </w:tbl>
    <w:p w14:paraId="7784C426">
      <w:pPr>
        <w:rPr>
          <w:color w:val="auto"/>
        </w:rPr>
      </w:pPr>
    </w:p>
    <w:p w14:paraId="79BE693A">
      <w:pPr>
        <w:spacing w:line="360" w:lineRule="auto"/>
        <w:rPr>
          <w:rFonts w:ascii="宋体" w:hAnsi="宋体"/>
          <w:color w:val="auto"/>
          <w:sz w:val="24"/>
        </w:rPr>
      </w:pPr>
      <w:r>
        <w:rPr>
          <w:rFonts w:hint="eastAsia" w:ascii="宋体" w:hAnsi="宋体"/>
          <w:color w:val="auto"/>
          <w:sz w:val="24"/>
        </w:rPr>
        <w:t>（2）著作</w:t>
      </w:r>
    </w:p>
    <w:tbl>
      <w:tblPr>
        <w:tblStyle w:val="6"/>
        <w:tblW w:w="8931"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5244"/>
        <w:gridCol w:w="1134"/>
        <w:gridCol w:w="1701"/>
      </w:tblGrid>
      <w:tr w14:paraId="0423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52" w:type="dxa"/>
          </w:tcPr>
          <w:p w14:paraId="0D11FEBC">
            <w:pPr>
              <w:spacing w:line="300" w:lineRule="auto"/>
              <w:jc w:val="center"/>
              <w:rPr>
                <w:rFonts w:ascii="宋体" w:hAnsi="宋体"/>
                <w:color w:val="auto"/>
                <w:sz w:val="24"/>
              </w:rPr>
            </w:pPr>
            <w:r>
              <w:rPr>
                <w:rFonts w:hint="eastAsia" w:ascii="宋体" w:hAnsi="宋体"/>
                <w:color w:val="auto"/>
                <w:sz w:val="24"/>
              </w:rPr>
              <w:t>序号</w:t>
            </w:r>
          </w:p>
        </w:tc>
        <w:tc>
          <w:tcPr>
            <w:tcW w:w="5244" w:type="dxa"/>
          </w:tcPr>
          <w:p w14:paraId="30E717FC">
            <w:pPr>
              <w:spacing w:line="300" w:lineRule="auto"/>
              <w:jc w:val="center"/>
              <w:rPr>
                <w:rFonts w:ascii="宋体" w:hAnsi="宋体"/>
                <w:color w:val="auto"/>
                <w:sz w:val="24"/>
              </w:rPr>
            </w:pPr>
            <w:r>
              <w:rPr>
                <w:rFonts w:hint="eastAsia" w:ascii="宋体" w:hAnsi="宋体"/>
                <w:color w:val="auto"/>
                <w:sz w:val="24"/>
              </w:rPr>
              <w:t>著作</w:t>
            </w:r>
          </w:p>
        </w:tc>
        <w:tc>
          <w:tcPr>
            <w:tcW w:w="1134" w:type="dxa"/>
          </w:tcPr>
          <w:p w14:paraId="209040CA">
            <w:pPr>
              <w:spacing w:line="300" w:lineRule="auto"/>
              <w:jc w:val="center"/>
              <w:rPr>
                <w:rFonts w:ascii="宋体" w:hAnsi="宋体"/>
                <w:color w:val="auto"/>
                <w:sz w:val="24"/>
              </w:rPr>
            </w:pPr>
            <w:r>
              <w:rPr>
                <w:rFonts w:hint="eastAsia" w:ascii="宋体" w:hAnsi="宋体"/>
                <w:color w:val="auto"/>
                <w:sz w:val="24"/>
              </w:rPr>
              <w:t>得分</w:t>
            </w:r>
          </w:p>
        </w:tc>
        <w:tc>
          <w:tcPr>
            <w:tcW w:w="1701" w:type="dxa"/>
          </w:tcPr>
          <w:p w14:paraId="0A7CB1C8">
            <w:pPr>
              <w:jc w:val="center"/>
              <w:rPr>
                <w:rFonts w:ascii="宋体" w:hAnsi="宋体"/>
                <w:color w:val="auto"/>
                <w:sz w:val="20"/>
              </w:rPr>
            </w:pPr>
            <w:r>
              <w:rPr>
                <w:rFonts w:hint="eastAsia" w:ascii="宋体" w:hAnsi="宋体"/>
                <w:color w:val="auto"/>
                <w:sz w:val="20"/>
              </w:rPr>
              <w:t>备注</w:t>
            </w:r>
          </w:p>
        </w:tc>
      </w:tr>
      <w:tr w14:paraId="110C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52" w:type="dxa"/>
            <w:vMerge w:val="restart"/>
          </w:tcPr>
          <w:p w14:paraId="026875FC">
            <w:pPr>
              <w:spacing w:line="300" w:lineRule="auto"/>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w:t>
            </w:r>
          </w:p>
        </w:tc>
        <w:tc>
          <w:tcPr>
            <w:tcW w:w="5244" w:type="dxa"/>
          </w:tcPr>
          <w:p w14:paraId="1B7DEE3D">
            <w:pPr>
              <w:spacing w:line="300" w:lineRule="auto"/>
              <w:rPr>
                <w:rFonts w:ascii="宋体"/>
                <w:color w:val="auto"/>
                <w:sz w:val="24"/>
              </w:rPr>
            </w:pPr>
            <w:r>
              <w:rPr>
                <w:rFonts w:hint="eastAsia" w:ascii="宋体" w:hAnsi="宋体"/>
                <w:color w:val="auto"/>
                <w:sz w:val="24"/>
              </w:rPr>
              <w:t>单独出版2</w:t>
            </w:r>
            <w:r>
              <w:rPr>
                <w:rFonts w:ascii="宋体" w:hAnsi="宋体"/>
                <w:color w:val="auto"/>
                <w:sz w:val="24"/>
              </w:rPr>
              <w:t>0</w:t>
            </w:r>
            <w:r>
              <w:rPr>
                <w:rFonts w:hint="eastAsia" w:ascii="宋体" w:hAnsi="宋体"/>
                <w:color w:val="auto"/>
                <w:sz w:val="24"/>
              </w:rPr>
              <w:t>万字以上的学术专著</w:t>
            </w:r>
          </w:p>
        </w:tc>
        <w:tc>
          <w:tcPr>
            <w:tcW w:w="1134" w:type="dxa"/>
          </w:tcPr>
          <w:p w14:paraId="24A2D1C2">
            <w:pPr>
              <w:spacing w:line="300" w:lineRule="auto"/>
              <w:rPr>
                <w:rFonts w:ascii="宋体"/>
                <w:color w:val="auto"/>
                <w:sz w:val="24"/>
              </w:rPr>
            </w:pPr>
            <w:r>
              <w:rPr>
                <w:rFonts w:hint="eastAsia" w:ascii="宋体" w:hAnsi="宋体"/>
                <w:color w:val="auto"/>
                <w:sz w:val="24"/>
              </w:rPr>
              <w:t>×</w:t>
            </w:r>
            <w:r>
              <w:rPr>
                <w:rFonts w:ascii="宋体" w:hAnsi="宋体"/>
                <w:color w:val="auto"/>
                <w:sz w:val="24"/>
              </w:rPr>
              <w:t>10</w:t>
            </w:r>
            <w:r>
              <w:rPr>
                <w:rFonts w:hint="eastAsia" w:ascii="宋体" w:hAnsi="宋体"/>
                <w:color w:val="auto"/>
                <w:sz w:val="24"/>
              </w:rPr>
              <w:t>分</w:t>
            </w:r>
          </w:p>
        </w:tc>
        <w:tc>
          <w:tcPr>
            <w:tcW w:w="1701" w:type="dxa"/>
            <w:vMerge w:val="restart"/>
          </w:tcPr>
          <w:p w14:paraId="66270072">
            <w:pPr>
              <w:rPr>
                <w:rFonts w:ascii="宋体"/>
                <w:color w:val="auto"/>
                <w:sz w:val="18"/>
                <w:szCs w:val="18"/>
              </w:rPr>
            </w:pPr>
            <w:r>
              <w:rPr>
                <w:rFonts w:hint="eastAsia" w:ascii="宋体" w:hAnsi="宋体"/>
                <w:color w:val="auto"/>
                <w:sz w:val="18"/>
                <w:szCs w:val="18"/>
              </w:rPr>
              <w:t>不足五万字的按照参编的标准计分；</w:t>
            </w:r>
          </w:p>
        </w:tc>
      </w:tr>
      <w:tr w14:paraId="0466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52" w:type="dxa"/>
            <w:vMerge w:val="continue"/>
          </w:tcPr>
          <w:p w14:paraId="3B889BFB">
            <w:pPr>
              <w:spacing w:line="300" w:lineRule="auto"/>
              <w:rPr>
                <w:rFonts w:ascii="宋体"/>
                <w:color w:val="auto"/>
                <w:sz w:val="24"/>
              </w:rPr>
            </w:pPr>
          </w:p>
        </w:tc>
        <w:tc>
          <w:tcPr>
            <w:tcW w:w="5244" w:type="dxa"/>
          </w:tcPr>
          <w:p w14:paraId="3E9C7A36">
            <w:pPr>
              <w:spacing w:line="300" w:lineRule="auto"/>
              <w:rPr>
                <w:rFonts w:ascii="宋体"/>
                <w:color w:val="auto"/>
                <w:sz w:val="24"/>
              </w:rPr>
            </w:pPr>
            <w:r>
              <w:rPr>
                <w:rFonts w:hint="eastAsia" w:ascii="宋体"/>
                <w:color w:val="auto"/>
                <w:sz w:val="24"/>
              </w:rPr>
              <w:t>单独出版1</w:t>
            </w:r>
            <w:r>
              <w:rPr>
                <w:rFonts w:ascii="宋体"/>
                <w:color w:val="auto"/>
                <w:sz w:val="24"/>
              </w:rPr>
              <w:t>5</w:t>
            </w:r>
            <w:r>
              <w:rPr>
                <w:rFonts w:hint="eastAsia" w:ascii="宋体"/>
                <w:color w:val="auto"/>
                <w:sz w:val="24"/>
              </w:rPr>
              <w:t>—2</w:t>
            </w:r>
            <w:r>
              <w:rPr>
                <w:rFonts w:ascii="宋体"/>
                <w:color w:val="auto"/>
                <w:sz w:val="24"/>
              </w:rPr>
              <w:t>0</w:t>
            </w:r>
            <w:r>
              <w:rPr>
                <w:rFonts w:hint="eastAsia" w:ascii="宋体"/>
                <w:color w:val="auto"/>
                <w:sz w:val="24"/>
              </w:rPr>
              <w:t>万字的学术专著</w:t>
            </w:r>
          </w:p>
        </w:tc>
        <w:tc>
          <w:tcPr>
            <w:tcW w:w="1134" w:type="dxa"/>
          </w:tcPr>
          <w:p w14:paraId="4861DB91">
            <w:pPr>
              <w:spacing w:line="300" w:lineRule="auto"/>
              <w:rPr>
                <w:rFonts w:ascii="宋体"/>
                <w:color w:val="auto"/>
                <w:sz w:val="24"/>
              </w:rPr>
            </w:pPr>
            <w:r>
              <w:rPr>
                <w:rFonts w:hint="eastAsia" w:ascii="宋体" w:hAnsi="宋体"/>
                <w:color w:val="auto"/>
                <w:sz w:val="24"/>
              </w:rPr>
              <w:t>×</w:t>
            </w:r>
            <w:r>
              <w:rPr>
                <w:rFonts w:ascii="宋体" w:hAnsi="宋体"/>
                <w:color w:val="auto"/>
                <w:sz w:val="24"/>
              </w:rPr>
              <w:t>8</w:t>
            </w:r>
            <w:r>
              <w:rPr>
                <w:rFonts w:hint="eastAsia" w:ascii="宋体" w:hAnsi="宋体"/>
                <w:color w:val="auto"/>
                <w:sz w:val="24"/>
              </w:rPr>
              <w:t>分</w:t>
            </w:r>
          </w:p>
        </w:tc>
        <w:tc>
          <w:tcPr>
            <w:tcW w:w="1701" w:type="dxa"/>
            <w:vMerge w:val="continue"/>
          </w:tcPr>
          <w:p w14:paraId="30B4572B">
            <w:pPr>
              <w:spacing w:line="300" w:lineRule="auto"/>
              <w:rPr>
                <w:rFonts w:ascii="宋体"/>
                <w:color w:val="auto"/>
                <w:sz w:val="18"/>
                <w:szCs w:val="18"/>
              </w:rPr>
            </w:pPr>
          </w:p>
        </w:tc>
      </w:tr>
      <w:tr w14:paraId="3B2E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52" w:type="dxa"/>
            <w:vMerge w:val="continue"/>
          </w:tcPr>
          <w:p w14:paraId="34251FC2">
            <w:pPr>
              <w:spacing w:line="300" w:lineRule="auto"/>
              <w:rPr>
                <w:rFonts w:ascii="宋体"/>
                <w:color w:val="auto"/>
                <w:sz w:val="24"/>
              </w:rPr>
            </w:pPr>
          </w:p>
        </w:tc>
        <w:tc>
          <w:tcPr>
            <w:tcW w:w="5244" w:type="dxa"/>
          </w:tcPr>
          <w:p w14:paraId="77EC52AB">
            <w:pPr>
              <w:spacing w:line="300" w:lineRule="auto"/>
              <w:rPr>
                <w:rFonts w:ascii="宋体"/>
                <w:color w:val="auto"/>
                <w:sz w:val="24"/>
              </w:rPr>
            </w:pPr>
            <w:r>
              <w:rPr>
                <w:rFonts w:hint="eastAsia" w:ascii="宋体" w:hAnsi="宋体"/>
                <w:color w:val="auto"/>
                <w:sz w:val="24"/>
              </w:rPr>
              <w:t>单独出版1</w:t>
            </w:r>
            <w:r>
              <w:rPr>
                <w:rFonts w:ascii="宋体" w:hAnsi="宋体"/>
                <w:color w:val="auto"/>
                <w:sz w:val="24"/>
              </w:rPr>
              <w:t>0</w:t>
            </w:r>
            <w:r>
              <w:rPr>
                <w:rFonts w:hint="eastAsia" w:ascii="宋体" w:hAnsi="宋体"/>
                <w:color w:val="auto"/>
                <w:sz w:val="24"/>
              </w:rPr>
              <w:t>—</w:t>
            </w:r>
            <w:r>
              <w:rPr>
                <w:rFonts w:ascii="宋体" w:hAnsi="宋体"/>
                <w:color w:val="auto"/>
                <w:sz w:val="24"/>
              </w:rPr>
              <w:t>15</w:t>
            </w:r>
            <w:r>
              <w:rPr>
                <w:rFonts w:hint="eastAsia" w:ascii="宋体" w:hAnsi="宋体"/>
                <w:color w:val="auto"/>
                <w:sz w:val="24"/>
              </w:rPr>
              <w:t xml:space="preserve">万字的学术专著，或参与写作专著字数在10万字以上 </w:t>
            </w:r>
          </w:p>
        </w:tc>
        <w:tc>
          <w:tcPr>
            <w:tcW w:w="1134" w:type="dxa"/>
          </w:tcPr>
          <w:p w14:paraId="06C4DA48">
            <w:pPr>
              <w:spacing w:line="300" w:lineRule="auto"/>
              <w:rPr>
                <w:rFonts w:ascii="宋体"/>
                <w:color w:val="auto"/>
                <w:sz w:val="24"/>
              </w:rPr>
            </w:pPr>
            <w:r>
              <w:rPr>
                <w:rFonts w:hint="eastAsia" w:ascii="宋体" w:hAnsi="宋体"/>
                <w:color w:val="auto"/>
                <w:sz w:val="24"/>
              </w:rPr>
              <w:t>×</w:t>
            </w:r>
            <w:r>
              <w:rPr>
                <w:rFonts w:ascii="宋体" w:hAnsi="宋体"/>
                <w:color w:val="auto"/>
                <w:sz w:val="24"/>
              </w:rPr>
              <w:t>6</w:t>
            </w:r>
            <w:r>
              <w:rPr>
                <w:rFonts w:hint="eastAsia" w:ascii="宋体" w:hAnsi="宋体"/>
                <w:color w:val="auto"/>
                <w:sz w:val="24"/>
              </w:rPr>
              <w:t>分</w:t>
            </w:r>
          </w:p>
        </w:tc>
        <w:tc>
          <w:tcPr>
            <w:tcW w:w="1701" w:type="dxa"/>
            <w:vMerge w:val="continue"/>
          </w:tcPr>
          <w:p w14:paraId="7A430708">
            <w:pPr>
              <w:spacing w:line="300" w:lineRule="auto"/>
              <w:rPr>
                <w:rFonts w:ascii="宋体"/>
                <w:color w:val="auto"/>
                <w:sz w:val="18"/>
                <w:szCs w:val="18"/>
              </w:rPr>
            </w:pPr>
          </w:p>
        </w:tc>
      </w:tr>
      <w:tr w14:paraId="7C2B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52" w:type="dxa"/>
            <w:vMerge w:val="restart"/>
          </w:tcPr>
          <w:p w14:paraId="7B2BAA08">
            <w:pPr>
              <w:spacing w:line="300" w:lineRule="auto"/>
              <w:rPr>
                <w:rFonts w:ascii="宋体"/>
                <w:color w:val="auto"/>
                <w:sz w:val="24"/>
              </w:rPr>
            </w:pPr>
            <w:r>
              <w:rPr>
                <w:rFonts w:hint="eastAsia" w:ascii="宋体"/>
                <w:color w:val="auto"/>
                <w:sz w:val="24"/>
              </w:rPr>
              <w:t>（2）</w:t>
            </w:r>
          </w:p>
        </w:tc>
        <w:tc>
          <w:tcPr>
            <w:tcW w:w="5244" w:type="dxa"/>
          </w:tcPr>
          <w:p w14:paraId="47B8922C">
            <w:pPr>
              <w:spacing w:line="300" w:lineRule="auto"/>
              <w:rPr>
                <w:rFonts w:ascii="宋体" w:hAnsi="宋体"/>
                <w:color w:val="auto"/>
                <w:sz w:val="24"/>
              </w:rPr>
            </w:pPr>
            <w:r>
              <w:rPr>
                <w:rFonts w:hint="eastAsia" w:ascii="宋体" w:hAnsi="宋体"/>
                <w:color w:val="auto"/>
                <w:sz w:val="24"/>
              </w:rPr>
              <w:t>参与写作专著，且写作字数在</w:t>
            </w:r>
            <w:r>
              <w:rPr>
                <w:rFonts w:ascii="宋体" w:hAnsi="宋体"/>
                <w:color w:val="auto"/>
                <w:sz w:val="24"/>
              </w:rPr>
              <w:t>6</w:t>
            </w:r>
            <w:r>
              <w:rPr>
                <w:rFonts w:hint="eastAsia" w:ascii="宋体" w:hAnsi="宋体"/>
                <w:color w:val="auto"/>
                <w:sz w:val="24"/>
              </w:rPr>
              <w:t>—1</w:t>
            </w:r>
            <w:r>
              <w:rPr>
                <w:rFonts w:ascii="宋体" w:hAnsi="宋体"/>
                <w:color w:val="auto"/>
                <w:sz w:val="24"/>
              </w:rPr>
              <w:t>0</w:t>
            </w:r>
            <w:r>
              <w:rPr>
                <w:rFonts w:hint="eastAsia" w:ascii="宋体" w:hAnsi="宋体"/>
                <w:color w:val="auto"/>
                <w:sz w:val="24"/>
              </w:rPr>
              <w:t>万字的</w:t>
            </w:r>
            <w:r>
              <w:rPr>
                <w:rFonts w:ascii="宋体" w:hAnsi="宋体"/>
                <w:color w:val="auto"/>
                <w:sz w:val="24"/>
              </w:rPr>
              <w:t xml:space="preserve"> </w:t>
            </w:r>
          </w:p>
        </w:tc>
        <w:tc>
          <w:tcPr>
            <w:tcW w:w="1134" w:type="dxa"/>
          </w:tcPr>
          <w:p w14:paraId="3BC0D20E">
            <w:pPr>
              <w:spacing w:line="300" w:lineRule="auto"/>
              <w:rPr>
                <w:rFonts w:ascii="宋体" w:hAns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分</w:t>
            </w:r>
          </w:p>
        </w:tc>
        <w:tc>
          <w:tcPr>
            <w:tcW w:w="1701" w:type="dxa"/>
            <w:vMerge w:val="restart"/>
          </w:tcPr>
          <w:p w14:paraId="62696156">
            <w:pPr>
              <w:spacing w:line="300" w:lineRule="auto"/>
              <w:rPr>
                <w:rFonts w:ascii="宋体"/>
                <w:color w:val="auto"/>
                <w:sz w:val="18"/>
                <w:szCs w:val="18"/>
              </w:rPr>
            </w:pPr>
            <w:r>
              <w:rPr>
                <w:rFonts w:hint="eastAsia" w:ascii="宋体" w:hAnsi="宋体"/>
                <w:color w:val="auto"/>
                <w:sz w:val="18"/>
                <w:szCs w:val="18"/>
              </w:rPr>
              <w:t>参与写作学术专著字数不足1万字的不算分；编写教材、通俗或普及性图书的，按照标准的一半计分</w:t>
            </w:r>
          </w:p>
        </w:tc>
      </w:tr>
      <w:tr w14:paraId="57DF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52" w:type="dxa"/>
            <w:vMerge w:val="continue"/>
          </w:tcPr>
          <w:p w14:paraId="101C19A2">
            <w:pPr>
              <w:spacing w:line="300" w:lineRule="auto"/>
              <w:rPr>
                <w:rFonts w:ascii="宋体"/>
                <w:color w:val="auto"/>
                <w:sz w:val="24"/>
              </w:rPr>
            </w:pPr>
          </w:p>
        </w:tc>
        <w:tc>
          <w:tcPr>
            <w:tcW w:w="5244" w:type="dxa"/>
          </w:tcPr>
          <w:p w14:paraId="36518CB9">
            <w:pPr>
              <w:spacing w:line="300" w:lineRule="auto"/>
              <w:rPr>
                <w:rFonts w:ascii="宋体" w:hAnsi="宋体"/>
                <w:color w:val="auto"/>
                <w:sz w:val="24"/>
              </w:rPr>
            </w:pPr>
            <w:r>
              <w:rPr>
                <w:rFonts w:hint="eastAsia" w:ascii="宋体" w:hAnsi="宋体"/>
                <w:color w:val="auto"/>
                <w:sz w:val="24"/>
              </w:rPr>
              <w:t>参与写作专著，且写作字数在</w:t>
            </w:r>
            <w:r>
              <w:rPr>
                <w:rFonts w:ascii="宋体" w:hAnsi="宋体"/>
                <w:color w:val="auto"/>
                <w:sz w:val="24"/>
              </w:rPr>
              <w:t>3</w:t>
            </w:r>
            <w:r>
              <w:rPr>
                <w:rFonts w:hint="eastAsia" w:ascii="宋体" w:hAnsi="宋体"/>
                <w:color w:val="auto"/>
                <w:sz w:val="24"/>
              </w:rPr>
              <w:t>—</w:t>
            </w:r>
            <w:r>
              <w:rPr>
                <w:rFonts w:ascii="宋体" w:hAnsi="宋体"/>
                <w:color w:val="auto"/>
                <w:sz w:val="24"/>
              </w:rPr>
              <w:t>6</w:t>
            </w:r>
            <w:r>
              <w:rPr>
                <w:rFonts w:hint="eastAsia" w:ascii="宋体" w:hAnsi="宋体"/>
                <w:color w:val="auto"/>
                <w:sz w:val="24"/>
              </w:rPr>
              <w:t>万字的</w:t>
            </w:r>
          </w:p>
        </w:tc>
        <w:tc>
          <w:tcPr>
            <w:tcW w:w="1134" w:type="dxa"/>
          </w:tcPr>
          <w:p w14:paraId="6043ADFC">
            <w:pPr>
              <w:spacing w:line="300" w:lineRule="auto"/>
              <w:rPr>
                <w:rFonts w:ascii="宋体" w:hAnsi="宋体"/>
                <w:color w:val="auto"/>
                <w:sz w:val="24"/>
              </w:rPr>
            </w:pPr>
            <w:r>
              <w:rPr>
                <w:rFonts w:hint="eastAsia" w:ascii="宋体" w:hAnsi="宋体"/>
                <w:color w:val="auto"/>
                <w:sz w:val="24"/>
              </w:rPr>
              <w:t>×2分</w:t>
            </w:r>
          </w:p>
        </w:tc>
        <w:tc>
          <w:tcPr>
            <w:tcW w:w="1701" w:type="dxa"/>
            <w:vMerge w:val="continue"/>
          </w:tcPr>
          <w:p w14:paraId="06C5383C">
            <w:pPr>
              <w:spacing w:line="300" w:lineRule="auto"/>
              <w:rPr>
                <w:rFonts w:ascii="宋体"/>
                <w:color w:val="auto"/>
                <w:sz w:val="24"/>
              </w:rPr>
            </w:pPr>
          </w:p>
        </w:tc>
      </w:tr>
      <w:tr w14:paraId="3E31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852" w:type="dxa"/>
            <w:vMerge w:val="continue"/>
          </w:tcPr>
          <w:p w14:paraId="1D9176F3">
            <w:pPr>
              <w:spacing w:line="300" w:lineRule="auto"/>
              <w:rPr>
                <w:rFonts w:ascii="宋体"/>
                <w:color w:val="auto"/>
                <w:sz w:val="24"/>
              </w:rPr>
            </w:pPr>
          </w:p>
        </w:tc>
        <w:tc>
          <w:tcPr>
            <w:tcW w:w="5244" w:type="dxa"/>
          </w:tcPr>
          <w:p w14:paraId="344AF96C">
            <w:pPr>
              <w:spacing w:line="300" w:lineRule="auto"/>
              <w:rPr>
                <w:rFonts w:ascii="宋体" w:hAnsi="宋体"/>
                <w:color w:val="auto"/>
                <w:sz w:val="24"/>
              </w:rPr>
            </w:pPr>
            <w:r>
              <w:rPr>
                <w:rFonts w:hint="eastAsia" w:ascii="宋体" w:hAnsi="宋体"/>
                <w:color w:val="auto"/>
                <w:sz w:val="24"/>
              </w:rPr>
              <w:t>参与写作专著，且写作字数在</w:t>
            </w:r>
            <w:r>
              <w:rPr>
                <w:rFonts w:ascii="宋体" w:hAnsi="宋体"/>
                <w:color w:val="auto"/>
                <w:sz w:val="24"/>
              </w:rPr>
              <w:t>1</w:t>
            </w:r>
            <w:r>
              <w:rPr>
                <w:rFonts w:hint="eastAsia" w:ascii="宋体" w:hAnsi="宋体"/>
                <w:color w:val="auto"/>
                <w:sz w:val="24"/>
              </w:rPr>
              <w:t>—</w:t>
            </w:r>
            <w:r>
              <w:rPr>
                <w:rFonts w:ascii="宋体" w:hAnsi="宋体"/>
                <w:color w:val="auto"/>
                <w:sz w:val="24"/>
              </w:rPr>
              <w:t>3</w:t>
            </w:r>
            <w:r>
              <w:rPr>
                <w:rFonts w:hint="eastAsia" w:ascii="宋体" w:hAnsi="宋体"/>
                <w:color w:val="auto"/>
                <w:sz w:val="24"/>
              </w:rPr>
              <w:t>万字的</w:t>
            </w:r>
          </w:p>
        </w:tc>
        <w:tc>
          <w:tcPr>
            <w:tcW w:w="1134" w:type="dxa"/>
          </w:tcPr>
          <w:p w14:paraId="453E65BA">
            <w:pPr>
              <w:spacing w:line="300" w:lineRule="auto"/>
              <w:rPr>
                <w:rFonts w:ascii="宋体" w:hAnsi="宋体"/>
                <w:color w:val="auto"/>
                <w:sz w:val="24"/>
              </w:rPr>
            </w:pPr>
            <w:r>
              <w:rPr>
                <w:rFonts w:hint="eastAsia" w:ascii="宋体" w:hAnsi="宋体"/>
                <w:color w:val="auto"/>
                <w:sz w:val="24"/>
              </w:rPr>
              <w:t>×</w:t>
            </w:r>
            <w:r>
              <w:rPr>
                <w:rFonts w:ascii="宋体" w:hAnsi="宋体"/>
                <w:color w:val="auto"/>
                <w:sz w:val="24"/>
              </w:rPr>
              <w:t>1.5</w:t>
            </w:r>
            <w:r>
              <w:rPr>
                <w:rFonts w:hint="eastAsia" w:ascii="宋体" w:hAnsi="宋体"/>
                <w:color w:val="auto"/>
                <w:sz w:val="24"/>
              </w:rPr>
              <w:t>分</w:t>
            </w:r>
          </w:p>
        </w:tc>
        <w:tc>
          <w:tcPr>
            <w:tcW w:w="1701" w:type="dxa"/>
            <w:vMerge w:val="continue"/>
          </w:tcPr>
          <w:p w14:paraId="11244C39">
            <w:pPr>
              <w:spacing w:line="300" w:lineRule="auto"/>
              <w:rPr>
                <w:rFonts w:ascii="宋体"/>
                <w:color w:val="auto"/>
                <w:sz w:val="24"/>
              </w:rPr>
            </w:pPr>
          </w:p>
        </w:tc>
      </w:tr>
      <w:tr w14:paraId="7DC1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931" w:type="dxa"/>
            <w:gridSpan w:val="4"/>
          </w:tcPr>
          <w:p w14:paraId="212763B2">
            <w:pPr>
              <w:spacing w:line="300" w:lineRule="auto"/>
              <w:rPr>
                <w:rFonts w:ascii="宋体"/>
                <w:color w:val="auto"/>
                <w:sz w:val="24"/>
              </w:rPr>
            </w:pPr>
            <w:r>
              <w:rPr>
                <w:rFonts w:hint="eastAsia" w:ascii="宋体" w:hAnsi="宋体"/>
                <w:color w:val="auto"/>
                <w:sz w:val="24"/>
              </w:rPr>
              <w:t>备注：以上科研能力中，如果论文或著作为国家级课题阶段性成果</w:t>
            </w:r>
            <w:r>
              <w:rPr>
                <w:rFonts w:ascii="宋体"/>
                <w:color w:val="auto"/>
                <w:sz w:val="24"/>
              </w:rPr>
              <w:t>,</w:t>
            </w:r>
            <w:r>
              <w:rPr>
                <w:rFonts w:hint="eastAsia" w:ascii="宋体" w:hAnsi="宋体"/>
                <w:color w:val="auto"/>
                <w:sz w:val="24"/>
              </w:rPr>
              <w:t>该篇论文得分再×</w:t>
            </w:r>
            <w:r>
              <w:rPr>
                <w:rFonts w:ascii="宋体" w:hAnsi="宋体"/>
                <w:color w:val="auto"/>
                <w:sz w:val="24"/>
              </w:rPr>
              <w:t>1.</w:t>
            </w:r>
            <w:r>
              <w:rPr>
                <w:rFonts w:hint="eastAsia" w:ascii="宋体" w:hAnsi="宋体"/>
                <w:color w:val="auto"/>
                <w:sz w:val="24"/>
              </w:rPr>
              <w:t>2系数</w:t>
            </w:r>
            <w:r>
              <w:rPr>
                <w:rFonts w:ascii="宋体" w:hAnsi="宋体"/>
                <w:color w:val="auto"/>
                <w:sz w:val="24"/>
              </w:rPr>
              <w:t xml:space="preserve">, </w:t>
            </w:r>
            <w:r>
              <w:rPr>
                <w:rFonts w:hint="eastAsia" w:ascii="宋体" w:hAnsi="宋体"/>
                <w:color w:val="auto"/>
                <w:sz w:val="24"/>
              </w:rPr>
              <w:t>如果论文或著作为省级课题阶段性成果</w:t>
            </w:r>
            <w:r>
              <w:rPr>
                <w:rFonts w:ascii="宋体"/>
                <w:color w:val="auto"/>
                <w:sz w:val="24"/>
              </w:rPr>
              <w:t>,</w:t>
            </w:r>
            <w:r>
              <w:rPr>
                <w:rFonts w:hint="eastAsia" w:ascii="宋体" w:hAnsi="宋体"/>
                <w:color w:val="auto"/>
                <w:sz w:val="24"/>
              </w:rPr>
              <w:t>该篇论文得分再×</w:t>
            </w:r>
            <w:r>
              <w:rPr>
                <w:rFonts w:ascii="宋体" w:hAnsi="宋体"/>
                <w:color w:val="auto"/>
                <w:sz w:val="24"/>
              </w:rPr>
              <w:t>1.</w:t>
            </w:r>
            <w:r>
              <w:rPr>
                <w:rFonts w:hint="eastAsia" w:ascii="宋体" w:hAnsi="宋体"/>
                <w:color w:val="auto"/>
                <w:sz w:val="24"/>
              </w:rPr>
              <w:t>1系数。</w:t>
            </w:r>
          </w:p>
        </w:tc>
      </w:tr>
    </w:tbl>
    <w:p w14:paraId="635BB21C">
      <w:pPr>
        <w:spacing w:line="360" w:lineRule="auto"/>
        <w:rPr>
          <w:rFonts w:hint="eastAsia" w:ascii="宋体" w:hAnsi="宋体"/>
          <w:color w:val="auto"/>
          <w:sz w:val="24"/>
        </w:rPr>
      </w:pPr>
    </w:p>
    <w:p w14:paraId="70071A3E">
      <w:pPr>
        <w:spacing w:line="360" w:lineRule="auto"/>
        <w:rPr>
          <w:rFonts w:ascii="宋体"/>
          <w:color w:val="auto"/>
          <w:sz w:val="24"/>
        </w:rPr>
      </w:pPr>
      <w:r>
        <w:rPr>
          <w:rFonts w:hint="eastAsia" w:ascii="宋体" w:hAnsi="宋体"/>
          <w:color w:val="auto"/>
          <w:sz w:val="24"/>
        </w:rPr>
        <w:t>（3）课题</w:t>
      </w:r>
    </w:p>
    <w:tbl>
      <w:tblPr>
        <w:tblStyle w:val="6"/>
        <w:tblW w:w="9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797"/>
        <w:gridCol w:w="1285"/>
        <w:gridCol w:w="1286"/>
        <w:gridCol w:w="1286"/>
        <w:gridCol w:w="1286"/>
        <w:gridCol w:w="1286"/>
      </w:tblGrid>
      <w:tr w14:paraId="731F0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6" w:type="dxa"/>
            <w:vAlign w:val="center"/>
          </w:tcPr>
          <w:p w14:paraId="0C0F95CF">
            <w:pPr>
              <w:spacing w:line="288" w:lineRule="auto"/>
              <w:jc w:val="center"/>
              <w:rPr>
                <w:rFonts w:ascii="宋体"/>
                <w:color w:val="auto"/>
                <w:sz w:val="24"/>
              </w:rPr>
            </w:pPr>
            <w:r>
              <w:rPr>
                <w:rFonts w:hint="eastAsia" w:ascii="宋体" w:hAnsi="宋体"/>
                <w:color w:val="auto"/>
                <w:sz w:val="24"/>
              </w:rPr>
              <w:t>课题级别</w:t>
            </w:r>
          </w:p>
        </w:tc>
        <w:tc>
          <w:tcPr>
            <w:tcW w:w="797" w:type="dxa"/>
            <w:vAlign w:val="center"/>
          </w:tcPr>
          <w:p w14:paraId="55971720">
            <w:pPr>
              <w:spacing w:line="288" w:lineRule="auto"/>
              <w:jc w:val="center"/>
              <w:rPr>
                <w:rFonts w:ascii="宋体"/>
                <w:color w:val="auto"/>
                <w:sz w:val="24"/>
              </w:rPr>
            </w:pPr>
            <w:r>
              <w:rPr>
                <w:rFonts w:hint="eastAsia" w:ascii="宋体" w:hAnsi="宋体"/>
                <w:color w:val="auto"/>
                <w:sz w:val="24"/>
              </w:rPr>
              <w:t>主持</w:t>
            </w:r>
          </w:p>
        </w:tc>
        <w:tc>
          <w:tcPr>
            <w:tcW w:w="1285" w:type="dxa"/>
            <w:vAlign w:val="center"/>
          </w:tcPr>
          <w:p w14:paraId="50576EBE">
            <w:pPr>
              <w:spacing w:line="288" w:lineRule="auto"/>
              <w:jc w:val="center"/>
              <w:rPr>
                <w:rFonts w:ascii="宋体"/>
                <w:color w:val="auto"/>
                <w:sz w:val="24"/>
              </w:rPr>
            </w:pPr>
            <w:r>
              <w:rPr>
                <w:rFonts w:hint="eastAsia" w:ascii="宋体" w:hAnsi="宋体"/>
                <w:color w:val="auto"/>
                <w:sz w:val="24"/>
              </w:rPr>
              <w:t>第一参与人</w:t>
            </w:r>
          </w:p>
        </w:tc>
        <w:tc>
          <w:tcPr>
            <w:tcW w:w="1286" w:type="dxa"/>
            <w:vAlign w:val="center"/>
          </w:tcPr>
          <w:p w14:paraId="581FA0EB">
            <w:pPr>
              <w:spacing w:line="288" w:lineRule="auto"/>
              <w:jc w:val="center"/>
              <w:rPr>
                <w:rFonts w:ascii="宋体"/>
                <w:color w:val="auto"/>
                <w:sz w:val="24"/>
              </w:rPr>
            </w:pPr>
            <w:r>
              <w:rPr>
                <w:rFonts w:hint="eastAsia" w:ascii="宋体" w:hAnsi="宋体"/>
                <w:color w:val="auto"/>
                <w:sz w:val="24"/>
              </w:rPr>
              <w:t>第二参与人</w:t>
            </w:r>
          </w:p>
        </w:tc>
        <w:tc>
          <w:tcPr>
            <w:tcW w:w="1286" w:type="dxa"/>
            <w:vAlign w:val="center"/>
          </w:tcPr>
          <w:p w14:paraId="5734B2A8">
            <w:pPr>
              <w:spacing w:line="288" w:lineRule="auto"/>
              <w:jc w:val="center"/>
              <w:rPr>
                <w:rFonts w:ascii="宋体"/>
                <w:color w:val="auto"/>
                <w:sz w:val="24"/>
              </w:rPr>
            </w:pPr>
            <w:r>
              <w:rPr>
                <w:rFonts w:hint="eastAsia" w:ascii="宋体" w:hAnsi="宋体"/>
                <w:color w:val="auto"/>
                <w:sz w:val="24"/>
              </w:rPr>
              <w:t>第三参与人</w:t>
            </w:r>
          </w:p>
        </w:tc>
        <w:tc>
          <w:tcPr>
            <w:tcW w:w="1286" w:type="dxa"/>
            <w:vAlign w:val="center"/>
          </w:tcPr>
          <w:p w14:paraId="48874C4E">
            <w:pPr>
              <w:spacing w:line="288" w:lineRule="auto"/>
              <w:jc w:val="center"/>
              <w:rPr>
                <w:rFonts w:ascii="宋体"/>
                <w:color w:val="auto"/>
                <w:sz w:val="24"/>
              </w:rPr>
            </w:pPr>
            <w:r>
              <w:rPr>
                <w:rFonts w:hint="eastAsia" w:ascii="宋体" w:hAnsi="宋体"/>
                <w:color w:val="auto"/>
                <w:sz w:val="24"/>
              </w:rPr>
              <w:t>第四参与人</w:t>
            </w:r>
          </w:p>
        </w:tc>
        <w:tc>
          <w:tcPr>
            <w:tcW w:w="1286" w:type="dxa"/>
            <w:vAlign w:val="center"/>
          </w:tcPr>
          <w:p w14:paraId="4560E74D">
            <w:pPr>
              <w:spacing w:line="288" w:lineRule="auto"/>
              <w:jc w:val="center"/>
              <w:rPr>
                <w:rFonts w:ascii="宋体"/>
                <w:color w:val="auto"/>
                <w:sz w:val="24"/>
              </w:rPr>
            </w:pPr>
            <w:r>
              <w:rPr>
                <w:rFonts w:hint="eastAsia" w:ascii="宋体" w:hAnsi="宋体"/>
                <w:color w:val="auto"/>
                <w:sz w:val="24"/>
              </w:rPr>
              <w:t>第五参与人</w:t>
            </w:r>
          </w:p>
        </w:tc>
      </w:tr>
      <w:tr w14:paraId="703C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6" w:type="dxa"/>
            <w:vAlign w:val="center"/>
          </w:tcPr>
          <w:p w14:paraId="5E066BDD">
            <w:pPr>
              <w:spacing w:line="288" w:lineRule="auto"/>
              <w:jc w:val="center"/>
              <w:rPr>
                <w:rFonts w:ascii="宋体"/>
                <w:color w:val="auto"/>
                <w:sz w:val="24"/>
              </w:rPr>
            </w:pPr>
            <w:r>
              <w:rPr>
                <w:rFonts w:hint="eastAsia" w:ascii="宋体" w:hAnsi="宋体"/>
                <w:color w:val="auto"/>
                <w:sz w:val="24"/>
              </w:rPr>
              <w:t>国家级（前五名）</w:t>
            </w:r>
          </w:p>
        </w:tc>
        <w:tc>
          <w:tcPr>
            <w:tcW w:w="797" w:type="dxa"/>
            <w:vAlign w:val="center"/>
          </w:tcPr>
          <w:p w14:paraId="5A2F654E">
            <w:pPr>
              <w:spacing w:line="288" w:lineRule="auto"/>
              <w:jc w:val="center"/>
              <w:rPr>
                <w:rFonts w:ascii="宋体"/>
                <w:color w:val="auto"/>
                <w:sz w:val="24"/>
              </w:rPr>
            </w:pPr>
            <w:r>
              <w:rPr>
                <w:rFonts w:hint="eastAsia" w:ascii="宋体" w:hAnsi="宋体"/>
                <w:color w:val="auto"/>
                <w:sz w:val="24"/>
              </w:rPr>
              <w:t>30分</w:t>
            </w:r>
          </w:p>
        </w:tc>
        <w:tc>
          <w:tcPr>
            <w:tcW w:w="1285" w:type="dxa"/>
            <w:vAlign w:val="center"/>
          </w:tcPr>
          <w:p w14:paraId="2D61CFE2">
            <w:pPr>
              <w:spacing w:line="288" w:lineRule="auto"/>
              <w:jc w:val="center"/>
              <w:rPr>
                <w:rFonts w:ascii="宋体"/>
                <w:color w:val="auto"/>
                <w:sz w:val="24"/>
              </w:rPr>
            </w:pPr>
            <w:r>
              <w:rPr>
                <w:rFonts w:hint="eastAsia" w:ascii="宋体" w:hAnsi="宋体"/>
                <w:color w:val="auto"/>
                <w:sz w:val="24"/>
              </w:rPr>
              <w:t>10分</w:t>
            </w:r>
          </w:p>
        </w:tc>
        <w:tc>
          <w:tcPr>
            <w:tcW w:w="1286" w:type="dxa"/>
            <w:vAlign w:val="center"/>
          </w:tcPr>
          <w:p w14:paraId="318F2AC7">
            <w:pPr>
              <w:spacing w:line="288" w:lineRule="auto"/>
              <w:jc w:val="center"/>
              <w:rPr>
                <w:rFonts w:ascii="宋体"/>
                <w:color w:val="auto"/>
                <w:sz w:val="24"/>
              </w:rPr>
            </w:pPr>
            <w:r>
              <w:rPr>
                <w:rFonts w:hint="eastAsia" w:ascii="宋体" w:hAnsi="宋体"/>
                <w:color w:val="auto"/>
                <w:sz w:val="24"/>
              </w:rPr>
              <w:t>8分</w:t>
            </w:r>
          </w:p>
        </w:tc>
        <w:tc>
          <w:tcPr>
            <w:tcW w:w="1286" w:type="dxa"/>
            <w:vAlign w:val="center"/>
          </w:tcPr>
          <w:p w14:paraId="6BD7454E">
            <w:pPr>
              <w:spacing w:line="288" w:lineRule="auto"/>
              <w:jc w:val="center"/>
              <w:rPr>
                <w:rFonts w:ascii="宋体"/>
                <w:color w:val="auto"/>
                <w:sz w:val="24"/>
              </w:rPr>
            </w:pPr>
            <w:r>
              <w:rPr>
                <w:rFonts w:hint="eastAsia" w:ascii="宋体" w:hAnsi="宋体"/>
                <w:color w:val="auto"/>
                <w:sz w:val="24"/>
              </w:rPr>
              <w:t>5分</w:t>
            </w:r>
          </w:p>
        </w:tc>
        <w:tc>
          <w:tcPr>
            <w:tcW w:w="1286" w:type="dxa"/>
            <w:vAlign w:val="center"/>
          </w:tcPr>
          <w:p w14:paraId="7A04E76E">
            <w:pPr>
              <w:spacing w:line="288" w:lineRule="auto"/>
              <w:jc w:val="center"/>
              <w:rPr>
                <w:rFonts w:ascii="宋体"/>
                <w:color w:val="auto"/>
                <w:sz w:val="24"/>
              </w:rPr>
            </w:pPr>
            <w:r>
              <w:rPr>
                <w:rFonts w:hint="eastAsia" w:ascii="宋体" w:hAnsi="宋体"/>
                <w:color w:val="auto"/>
                <w:sz w:val="24"/>
              </w:rPr>
              <w:t>3分</w:t>
            </w:r>
          </w:p>
        </w:tc>
        <w:tc>
          <w:tcPr>
            <w:tcW w:w="1286" w:type="dxa"/>
            <w:vAlign w:val="center"/>
          </w:tcPr>
          <w:p w14:paraId="53614290">
            <w:pPr>
              <w:spacing w:line="288" w:lineRule="auto"/>
              <w:jc w:val="center"/>
              <w:rPr>
                <w:rFonts w:ascii="宋体"/>
                <w:color w:val="auto"/>
                <w:sz w:val="24"/>
              </w:rPr>
            </w:pPr>
            <w:r>
              <w:rPr>
                <w:rFonts w:hint="eastAsia" w:ascii="宋体" w:hAnsi="宋体"/>
                <w:color w:val="auto"/>
                <w:sz w:val="24"/>
              </w:rPr>
              <w:t>2分</w:t>
            </w:r>
          </w:p>
        </w:tc>
      </w:tr>
      <w:tr w14:paraId="3C65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6" w:type="dxa"/>
            <w:vAlign w:val="center"/>
          </w:tcPr>
          <w:p w14:paraId="190978DE">
            <w:pPr>
              <w:spacing w:line="288" w:lineRule="auto"/>
              <w:jc w:val="center"/>
              <w:rPr>
                <w:rFonts w:ascii="宋体"/>
                <w:color w:val="auto"/>
                <w:sz w:val="24"/>
              </w:rPr>
            </w:pPr>
            <w:r>
              <w:rPr>
                <w:rFonts w:hint="eastAsia" w:ascii="宋体" w:hAnsi="宋体"/>
                <w:color w:val="auto"/>
                <w:sz w:val="24"/>
              </w:rPr>
              <w:t>省部级（前三名）</w:t>
            </w:r>
          </w:p>
        </w:tc>
        <w:tc>
          <w:tcPr>
            <w:tcW w:w="797" w:type="dxa"/>
            <w:vAlign w:val="center"/>
          </w:tcPr>
          <w:p w14:paraId="119E3AE4">
            <w:pPr>
              <w:spacing w:line="288" w:lineRule="auto"/>
              <w:jc w:val="center"/>
              <w:rPr>
                <w:rFonts w:ascii="宋体"/>
                <w:color w:val="auto"/>
                <w:sz w:val="24"/>
              </w:rPr>
            </w:pPr>
            <w:r>
              <w:rPr>
                <w:rFonts w:hint="eastAsia" w:ascii="宋体" w:hAnsi="宋体"/>
                <w:color w:val="auto"/>
                <w:sz w:val="24"/>
              </w:rPr>
              <w:t>1</w:t>
            </w:r>
            <w:r>
              <w:rPr>
                <w:rFonts w:ascii="宋体" w:hAnsi="宋体"/>
                <w:color w:val="auto"/>
                <w:sz w:val="24"/>
              </w:rPr>
              <w:t>5</w:t>
            </w:r>
            <w:r>
              <w:rPr>
                <w:rFonts w:hint="eastAsia" w:ascii="宋体" w:hAnsi="宋体"/>
                <w:color w:val="auto"/>
                <w:sz w:val="24"/>
              </w:rPr>
              <w:t>分</w:t>
            </w:r>
          </w:p>
        </w:tc>
        <w:tc>
          <w:tcPr>
            <w:tcW w:w="1285" w:type="dxa"/>
            <w:vAlign w:val="center"/>
          </w:tcPr>
          <w:p w14:paraId="2A040494">
            <w:pPr>
              <w:spacing w:line="288" w:lineRule="auto"/>
              <w:jc w:val="center"/>
              <w:rPr>
                <w:rFonts w:ascii="宋体"/>
                <w:color w:val="auto"/>
                <w:sz w:val="24"/>
              </w:rPr>
            </w:pPr>
            <w:r>
              <w:rPr>
                <w:rFonts w:hint="eastAsia" w:ascii="宋体" w:hAnsi="宋体"/>
                <w:color w:val="auto"/>
                <w:sz w:val="24"/>
              </w:rPr>
              <w:t>6分</w:t>
            </w:r>
          </w:p>
        </w:tc>
        <w:tc>
          <w:tcPr>
            <w:tcW w:w="1286" w:type="dxa"/>
            <w:vAlign w:val="center"/>
          </w:tcPr>
          <w:p w14:paraId="1EBC2895">
            <w:pPr>
              <w:spacing w:line="288" w:lineRule="auto"/>
              <w:jc w:val="center"/>
              <w:rPr>
                <w:rFonts w:ascii="宋体"/>
                <w:color w:val="auto"/>
                <w:sz w:val="24"/>
              </w:rPr>
            </w:pPr>
            <w:r>
              <w:rPr>
                <w:rFonts w:hint="eastAsia" w:ascii="宋体" w:hAnsi="宋体"/>
                <w:color w:val="auto"/>
                <w:sz w:val="24"/>
              </w:rPr>
              <w:t>3分</w:t>
            </w:r>
          </w:p>
        </w:tc>
        <w:tc>
          <w:tcPr>
            <w:tcW w:w="1286" w:type="dxa"/>
            <w:vAlign w:val="center"/>
          </w:tcPr>
          <w:p w14:paraId="3C959ABA">
            <w:pPr>
              <w:spacing w:line="288" w:lineRule="auto"/>
              <w:jc w:val="center"/>
              <w:rPr>
                <w:rFonts w:ascii="宋体"/>
                <w:color w:val="auto"/>
                <w:sz w:val="24"/>
              </w:rPr>
            </w:pPr>
            <w:r>
              <w:rPr>
                <w:rFonts w:hint="eastAsia" w:ascii="宋体" w:hAnsi="宋体"/>
                <w:color w:val="auto"/>
                <w:sz w:val="24"/>
              </w:rPr>
              <w:t>2分</w:t>
            </w:r>
          </w:p>
        </w:tc>
        <w:tc>
          <w:tcPr>
            <w:tcW w:w="1286" w:type="dxa"/>
            <w:vAlign w:val="center"/>
          </w:tcPr>
          <w:p w14:paraId="73562E32">
            <w:pPr>
              <w:spacing w:line="288" w:lineRule="auto"/>
              <w:jc w:val="center"/>
              <w:rPr>
                <w:rFonts w:ascii="宋体"/>
                <w:color w:val="auto"/>
                <w:sz w:val="24"/>
              </w:rPr>
            </w:pPr>
            <w:r>
              <w:rPr>
                <w:rFonts w:ascii="宋体"/>
                <w:color w:val="auto"/>
                <w:sz w:val="24"/>
              </w:rPr>
              <w:t>0</w:t>
            </w:r>
            <w:r>
              <w:rPr>
                <w:rFonts w:hint="eastAsia" w:ascii="宋体" w:hAnsi="宋体"/>
                <w:color w:val="auto"/>
                <w:sz w:val="24"/>
              </w:rPr>
              <w:t>分</w:t>
            </w:r>
          </w:p>
        </w:tc>
        <w:tc>
          <w:tcPr>
            <w:tcW w:w="1286" w:type="dxa"/>
            <w:vAlign w:val="center"/>
          </w:tcPr>
          <w:p w14:paraId="46C6C05B">
            <w:pPr>
              <w:spacing w:line="288" w:lineRule="auto"/>
              <w:jc w:val="center"/>
              <w:rPr>
                <w:rFonts w:ascii="宋体"/>
                <w:color w:val="auto"/>
                <w:sz w:val="24"/>
              </w:rPr>
            </w:pPr>
            <w:r>
              <w:rPr>
                <w:rFonts w:ascii="宋体"/>
                <w:color w:val="auto"/>
                <w:sz w:val="24"/>
              </w:rPr>
              <w:t>0</w:t>
            </w:r>
            <w:r>
              <w:rPr>
                <w:rFonts w:hint="eastAsia" w:ascii="宋体" w:hAnsi="宋体"/>
                <w:color w:val="auto"/>
                <w:sz w:val="24"/>
              </w:rPr>
              <w:t>分</w:t>
            </w:r>
          </w:p>
        </w:tc>
      </w:tr>
      <w:tr w14:paraId="7FDFA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6" w:type="dxa"/>
            <w:vAlign w:val="center"/>
          </w:tcPr>
          <w:p w14:paraId="1DFD8233">
            <w:pPr>
              <w:spacing w:line="288" w:lineRule="auto"/>
              <w:jc w:val="center"/>
              <w:rPr>
                <w:rFonts w:ascii="宋体"/>
                <w:color w:val="auto"/>
                <w:sz w:val="24"/>
              </w:rPr>
            </w:pPr>
            <w:r>
              <w:rPr>
                <w:rFonts w:hint="eastAsia" w:ascii="宋体" w:hAnsi="宋体"/>
                <w:color w:val="auto"/>
                <w:sz w:val="24"/>
              </w:rPr>
              <w:t>厅局校级（前两名）</w:t>
            </w:r>
          </w:p>
        </w:tc>
        <w:tc>
          <w:tcPr>
            <w:tcW w:w="797" w:type="dxa"/>
            <w:vAlign w:val="center"/>
          </w:tcPr>
          <w:p w14:paraId="32DEFB5A">
            <w:pPr>
              <w:spacing w:line="288" w:lineRule="auto"/>
              <w:jc w:val="center"/>
              <w:rPr>
                <w:rFonts w:ascii="宋体"/>
                <w:color w:val="auto"/>
                <w:sz w:val="24"/>
              </w:rPr>
            </w:pPr>
            <w:r>
              <w:rPr>
                <w:rFonts w:hint="eastAsia" w:ascii="宋体" w:hAnsi="宋体"/>
                <w:color w:val="auto"/>
                <w:sz w:val="24"/>
              </w:rPr>
              <w:t>6分</w:t>
            </w:r>
          </w:p>
        </w:tc>
        <w:tc>
          <w:tcPr>
            <w:tcW w:w="1285" w:type="dxa"/>
            <w:vAlign w:val="center"/>
          </w:tcPr>
          <w:p w14:paraId="5103A4F1">
            <w:pPr>
              <w:spacing w:line="288" w:lineRule="auto"/>
              <w:jc w:val="center"/>
              <w:rPr>
                <w:rFonts w:ascii="宋体"/>
                <w:color w:val="auto"/>
                <w:sz w:val="24"/>
              </w:rPr>
            </w:pPr>
            <w:r>
              <w:rPr>
                <w:rFonts w:hint="eastAsia" w:ascii="宋体" w:hAnsi="宋体"/>
                <w:color w:val="auto"/>
                <w:sz w:val="24"/>
              </w:rPr>
              <w:t>2分</w:t>
            </w:r>
          </w:p>
        </w:tc>
        <w:tc>
          <w:tcPr>
            <w:tcW w:w="1286" w:type="dxa"/>
            <w:vAlign w:val="center"/>
          </w:tcPr>
          <w:p w14:paraId="419AECAE">
            <w:pPr>
              <w:spacing w:line="288" w:lineRule="auto"/>
              <w:jc w:val="center"/>
              <w:rPr>
                <w:rFonts w:ascii="宋体"/>
                <w:color w:val="auto"/>
                <w:sz w:val="24"/>
              </w:rPr>
            </w:pPr>
            <w:r>
              <w:rPr>
                <w:rFonts w:hint="eastAsia" w:ascii="宋体" w:hAnsi="宋体"/>
                <w:color w:val="auto"/>
                <w:sz w:val="24"/>
              </w:rPr>
              <w:t>1分</w:t>
            </w:r>
          </w:p>
        </w:tc>
        <w:tc>
          <w:tcPr>
            <w:tcW w:w="1286" w:type="dxa"/>
            <w:vAlign w:val="center"/>
          </w:tcPr>
          <w:p w14:paraId="5469F761">
            <w:pPr>
              <w:spacing w:line="288" w:lineRule="auto"/>
              <w:jc w:val="center"/>
              <w:rPr>
                <w:rFonts w:ascii="宋体"/>
                <w:color w:val="auto"/>
                <w:sz w:val="24"/>
              </w:rPr>
            </w:pPr>
            <w:r>
              <w:rPr>
                <w:rFonts w:hint="eastAsia" w:ascii="宋体" w:hAnsi="宋体"/>
                <w:color w:val="auto"/>
                <w:sz w:val="24"/>
              </w:rPr>
              <w:t>0分</w:t>
            </w:r>
          </w:p>
        </w:tc>
        <w:tc>
          <w:tcPr>
            <w:tcW w:w="1286" w:type="dxa"/>
            <w:vAlign w:val="center"/>
          </w:tcPr>
          <w:p w14:paraId="3D36B1AE">
            <w:pPr>
              <w:spacing w:line="288" w:lineRule="auto"/>
              <w:jc w:val="center"/>
              <w:rPr>
                <w:rFonts w:ascii="宋体"/>
                <w:color w:val="auto"/>
                <w:sz w:val="24"/>
              </w:rPr>
            </w:pPr>
            <w:r>
              <w:rPr>
                <w:rFonts w:ascii="宋体"/>
                <w:color w:val="auto"/>
                <w:sz w:val="24"/>
              </w:rPr>
              <w:t>0</w:t>
            </w:r>
            <w:r>
              <w:rPr>
                <w:rFonts w:hint="eastAsia" w:ascii="宋体" w:hAnsi="宋体"/>
                <w:color w:val="auto"/>
                <w:sz w:val="24"/>
              </w:rPr>
              <w:t>分</w:t>
            </w:r>
          </w:p>
        </w:tc>
        <w:tc>
          <w:tcPr>
            <w:tcW w:w="1286" w:type="dxa"/>
            <w:vAlign w:val="center"/>
          </w:tcPr>
          <w:p w14:paraId="379AE75F">
            <w:pPr>
              <w:spacing w:line="288" w:lineRule="auto"/>
              <w:jc w:val="center"/>
              <w:rPr>
                <w:rFonts w:ascii="宋体"/>
                <w:color w:val="auto"/>
                <w:sz w:val="24"/>
              </w:rPr>
            </w:pPr>
            <w:r>
              <w:rPr>
                <w:rFonts w:ascii="宋体"/>
                <w:color w:val="auto"/>
                <w:sz w:val="24"/>
              </w:rPr>
              <w:t>0</w:t>
            </w:r>
            <w:r>
              <w:rPr>
                <w:rFonts w:hint="eastAsia" w:ascii="宋体" w:hAnsi="宋体"/>
                <w:color w:val="auto"/>
                <w:sz w:val="24"/>
              </w:rPr>
              <w:t>分</w:t>
            </w:r>
          </w:p>
        </w:tc>
      </w:tr>
      <w:tr w14:paraId="5FC7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6" w:type="dxa"/>
            <w:vAlign w:val="center"/>
          </w:tcPr>
          <w:p w14:paraId="1FBC86AA">
            <w:pPr>
              <w:spacing w:line="288"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lang w:val="en-US" w:eastAsia="zh-CN"/>
              </w:rPr>
              <w:t>本校思政、教改等项目</w:t>
            </w:r>
          </w:p>
        </w:tc>
        <w:tc>
          <w:tcPr>
            <w:tcW w:w="797" w:type="dxa"/>
            <w:vAlign w:val="center"/>
          </w:tcPr>
          <w:p w14:paraId="2F2FF5D0">
            <w:pPr>
              <w:spacing w:line="288" w:lineRule="auto"/>
              <w:jc w:val="center"/>
              <w:rPr>
                <w:rFonts w:hint="eastAsia" w:ascii="宋体" w:hAnsi="Times New Roman" w:eastAsia="宋体" w:cs="Times New Roman"/>
                <w:color w:val="auto"/>
                <w:kern w:val="2"/>
                <w:sz w:val="24"/>
                <w:szCs w:val="24"/>
                <w:lang w:val="en-US" w:eastAsia="zh-CN" w:bidi="ar-SA"/>
              </w:rPr>
            </w:pPr>
            <w:r>
              <w:rPr>
                <w:rFonts w:hint="eastAsia" w:ascii="宋体" w:hAnsi="宋体"/>
                <w:color w:val="auto"/>
                <w:sz w:val="24"/>
              </w:rPr>
              <w:t>6分</w:t>
            </w:r>
          </w:p>
        </w:tc>
        <w:tc>
          <w:tcPr>
            <w:tcW w:w="6429" w:type="dxa"/>
            <w:gridSpan w:val="5"/>
            <w:vAlign w:val="center"/>
          </w:tcPr>
          <w:p w14:paraId="3B447786">
            <w:pPr>
              <w:spacing w:line="288" w:lineRule="auto"/>
              <w:jc w:val="center"/>
              <w:rPr>
                <w:rFonts w:ascii="宋体"/>
                <w:color w:val="auto"/>
                <w:sz w:val="24"/>
              </w:rPr>
            </w:pPr>
            <w:r>
              <w:rPr>
                <w:rFonts w:hint="eastAsia" w:ascii="宋体"/>
                <w:color w:val="auto"/>
                <w:sz w:val="24"/>
                <w:lang w:val="en-US" w:eastAsia="zh-CN"/>
              </w:rPr>
              <w:t>项目书上有排名且实际承担工作可获得1分</w:t>
            </w:r>
          </w:p>
        </w:tc>
      </w:tr>
      <w:tr w14:paraId="2E60F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52" w:type="dxa"/>
            <w:gridSpan w:val="7"/>
            <w:vAlign w:val="center"/>
          </w:tcPr>
          <w:p w14:paraId="09788632">
            <w:pPr>
              <w:spacing w:line="288" w:lineRule="auto"/>
              <w:rPr>
                <w:rFonts w:ascii="宋体"/>
                <w:color w:val="auto"/>
                <w:sz w:val="24"/>
              </w:rPr>
            </w:pPr>
            <w:r>
              <w:rPr>
                <w:rFonts w:hint="eastAsia" w:ascii="宋体" w:hAnsi="宋体"/>
                <w:color w:val="auto"/>
                <w:sz w:val="24"/>
              </w:rPr>
              <w:t>备注：</w:t>
            </w:r>
            <w:r>
              <w:rPr>
                <w:rFonts w:ascii="宋体" w:hAnsi="宋体"/>
                <w:color w:val="auto"/>
                <w:sz w:val="24"/>
              </w:rPr>
              <w:t xml:space="preserve">1. </w:t>
            </w:r>
            <w:r>
              <w:rPr>
                <w:rFonts w:hint="eastAsia" w:ascii="宋体" w:hAnsi="宋体"/>
                <w:color w:val="auto"/>
                <w:sz w:val="24"/>
              </w:rPr>
              <w:t>课题立项计分，结项不再重复计分；</w:t>
            </w:r>
          </w:p>
          <w:p w14:paraId="79CBF0C6">
            <w:pPr>
              <w:spacing w:line="288" w:lineRule="auto"/>
              <w:ind w:firstLine="720" w:firstLineChars="300"/>
              <w:jc w:val="left"/>
              <w:rPr>
                <w:rFonts w:ascii="宋体"/>
                <w:color w:val="auto"/>
                <w:sz w:val="24"/>
              </w:rPr>
            </w:pPr>
            <w:r>
              <w:rPr>
                <w:rFonts w:ascii="宋体"/>
                <w:color w:val="auto"/>
                <w:sz w:val="24"/>
              </w:rPr>
              <w:t>2.</w:t>
            </w:r>
            <w:r>
              <w:rPr>
                <w:rFonts w:ascii="宋体" w:hAnsi="宋体"/>
                <w:color w:val="auto"/>
                <w:sz w:val="24"/>
              </w:rPr>
              <w:t xml:space="preserve"> </w:t>
            </w:r>
            <w:r>
              <w:rPr>
                <w:rFonts w:hint="eastAsia" w:ascii="宋体" w:hAnsi="宋体"/>
                <w:color w:val="auto"/>
                <w:sz w:val="24"/>
              </w:rPr>
              <w:t>硕士研究生参与导师项目（项目书上无排名），国家级项目加</w:t>
            </w:r>
            <w:r>
              <w:rPr>
                <w:rFonts w:ascii="宋体" w:hAnsi="宋体"/>
                <w:color w:val="auto"/>
                <w:sz w:val="24"/>
              </w:rPr>
              <w:t>0.</w:t>
            </w:r>
            <w:r>
              <w:rPr>
                <w:rFonts w:hint="eastAsia" w:ascii="宋体" w:hAnsi="宋体"/>
                <w:color w:val="auto"/>
                <w:sz w:val="24"/>
              </w:rPr>
              <w:t>8分，省部级项目加</w:t>
            </w:r>
            <w:r>
              <w:rPr>
                <w:rFonts w:ascii="宋体" w:hAnsi="宋体"/>
                <w:color w:val="auto"/>
                <w:sz w:val="24"/>
              </w:rPr>
              <w:t>0.</w:t>
            </w:r>
            <w:r>
              <w:rPr>
                <w:rFonts w:hint="eastAsia" w:ascii="宋体" w:hAnsi="宋体"/>
                <w:color w:val="auto"/>
                <w:sz w:val="24"/>
              </w:rPr>
              <w:t>5分，厅局级</w:t>
            </w:r>
            <w:r>
              <w:rPr>
                <w:rFonts w:ascii="宋体" w:hAnsi="宋体"/>
                <w:color w:val="auto"/>
                <w:sz w:val="24"/>
              </w:rPr>
              <w:t>/</w:t>
            </w:r>
            <w:r>
              <w:rPr>
                <w:rFonts w:hint="eastAsia" w:ascii="宋体" w:hAnsi="宋体"/>
                <w:color w:val="auto"/>
                <w:sz w:val="24"/>
              </w:rPr>
              <w:t>校级加</w:t>
            </w:r>
            <w:r>
              <w:rPr>
                <w:rFonts w:ascii="宋体" w:hAnsi="宋体"/>
                <w:color w:val="auto"/>
                <w:sz w:val="24"/>
              </w:rPr>
              <w:t>0.</w:t>
            </w:r>
            <w:r>
              <w:rPr>
                <w:rFonts w:hint="eastAsia" w:ascii="宋体" w:hAnsi="宋体"/>
                <w:color w:val="auto"/>
                <w:sz w:val="24"/>
              </w:rPr>
              <w:t>3分。（需提供导师签字的相关证明）；</w:t>
            </w:r>
          </w:p>
          <w:p w14:paraId="2D4BDD8F">
            <w:pPr>
              <w:spacing w:line="288" w:lineRule="auto"/>
              <w:ind w:firstLine="720" w:firstLineChars="300"/>
              <w:jc w:val="left"/>
              <w:rPr>
                <w:rFonts w:hint="eastAsia" w:ascii="宋体" w:eastAsia="宋体"/>
                <w:color w:val="auto"/>
                <w:sz w:val="24"/>
                <w:lang w:eastAsia="zh-CN"/>
              </w:rPr>
            </w:pPr>
            <w:r>
              <w:rPr>
                <w:rFonts w:ascii="宋体"/>
                <w:color w:val="auto"/>
                <w:sz w:val="24"/>
              </w:rPr>
              <w:t>3.</w:t>
            </w:r>
            <w:r>
              <w:rPr>
                <w:rFonts w:hint="eastAsia" w:ascii="宋体"/>
                <w:color w:val="auto"/>
                <w:sz w:val="24"/>
              </w:rPr>
              <w:t>参与非导师项目或其他学校导师项目</w:t>
            </w:r>
            <w:r>
              <w:rPr>
                <w:rFonts w:hint="eastAsia" w:ascii="宋体"/>
                <w:color w:val="auto"/>
                <w:sz w:val="24"/>
                <w:lang w:eastAsia="zh-CN"/>
              </w:rPr>
              <w:t>（</w:t>
            </w:r>
            <w:r>
              <w:rPr>
                <w:rFonts w:hint="eastAsia" w:ascii="宋体"/>
                <w:color w:val="auto"/>
                <w:sz w:val="24"/>
                <w:lang w:val="en-US" w:eastAsia="zh-CN"/>
              </w:rPr>
              <w:t>不含思政项目</w:t>
            </w:r>
            <w:r>
              <w:rPr>
                <w:rFonts w:hint="eastAsia" w:ascii="宋体"/>
                <w:color w:val="auto"/>
                <w:sz w:val="24"/>
                <w:lang w:eastAsia="zh-CN"/>
              </w:rPr>
              <w:t>）</w:t>
            </w:r>
            <w:r>
              <w:rPr>
                <w:rFonts w:hint="eastAsia" w:ascii="宋体"/>
                <w:color w:val="auto"/>
                <w:sz w:val="24"/>
              </w:rPr>
              <w:t>，不参与计分</w:t>
            </w:r>
            <w:r>
              <w:rPr>
                <w:rFonts w:hint="eastAsia" w:ascii="宋体"/>
                <w:color w:val="auto"/>
                <w:sz w:val="24"/>
                <w:lang w:eastAsia="zh-CN"/>
              </w:rPr>
              <w:t>。</w:t>
            </w:r>
          </w:p>
        </w:tc>
      </w:tr>
    </w:tbl>
    <w:p w14:paraId="64E1F641">
      <w:pPr>
        <w:spacing w:line="360" w:lineRule="auto"/>
        <w:rPr>
          <w:rFonts w:ascii="宋体" w:hAnsi="宋体"/>
          <w:color w:val="auto"/>
          <w:sz w:val="24"/>
        </w:rPr>
      </w:pPr>
      <w:r>
        <w:rPr>
          <w:rFonts w:hint="eastAsia" w:ascii="宋体" w:hAnsi="宋体"/>
          <w:color w:val="auto"/>
          <w:sz w:val="24"/>
          <w:lang w:val="en-US" w:eastAsia="zh-CN"/>
        </w:rPr>
        <w:t>2</w:t>
      </w:r>
      <w:r>
        <w:rPr>
          <w:rFonts w:hint="eastAsia" w:ascii="宋体" w:hAnsi="宋体"/>
          <w:color w:val="auto"/>
          <w:sz w:val="24"/>
        </w:rPr>
        <w:t>、竞赛与专利得分：</w:t>
      </w:r>
    </w:p>
    <w:p w14:paraId="3FD7EED1">
      <w:pPr>
        <w:spacing w:line="360" w:lineRule="auto"/>
        <w:rPr>
          <w:rFonts w:ascii="宋体"/>
          <w:color w:val="auto"/>
          <w:sz w:val="24"/>
        </w:rPr>
      </w:pPr>
      <w:r>
        <w:rPr>
          <w:rFonts w:hint="eastAsia" w:ascii="宋体"/>
          <w:color w:val="auto"/>
          <w:sz w:val="24"/>
        </w:rPr>
        <w:t>（1）竞赛</w:t>
      </w:r>
    </w:p>
    <w:tbl>
      <w:tblPr>
        <w:tblStyle w:val="6"/>
        <w:tblW w:w="8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3"/>
        <w:gridCol w:w="1440"/>
        <w:gridCol w:w="1440"/>
        <w:gridCol w:w="1440"/>
        <w:gridCol w:w="2160"/>
      </w:tblGrid>
      <w:tr w14:paraId="2912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083" w:type="dxa"/>
            <w:vAlign w:val="center"/>
          </w:tcPr>
          <w:p w14:paraId="53637EBB">
            <w:pPr>
              <w:spacing w:line="288" w:lineRule="auto"/>
              <w:jc w:val="center"/>
              <w:rPr>
                <w:rFonts w:ascii="宋体"/>
                <w:color w:val="auto"/>
                <w:sz w:val="24"/>
              </w:rPr>
            </w:pPr>
            <w:r>
              <w:rPr>
                <w:rFonts w:hint="eastAsia" w:ascii="宋体" w:hAnsi="宋体"/>
                <w:color w:val="auto"/>
                <w:sz w:val="24"/>
              </w:rPr>
              <w:t>竞赛</w:t>
            </w:r>
          </w:p>
        </w:tc>
        <w:tc>
          <w:tcPr>
            <w:tcW w:w="1440" w:type="dxa"/>
            <w:vAlign w:val="center"/>
          </w:tcPr>
          <w:p w14:paraId="2D36F1E7">
            <w:pPr>
              <w:spacing w:line="288" w:lineRule="auto"/>
              <w:jc w:val="center"/>
              <w:rPr>
                <w:rFonts w:ascii="宋体"/>
                <w:color w:val="auto"/>
                <w:sz w:val="24"/>
              </w:rPr>
            </w:pPr>
            <w:r>
              <w:rPr>
                <w:rFonts w:hint="eastAsia" w:ascii="宋体" w:hAnsi="宋体"/>
                <w:color w:val="auto"/>
                <w:sz w:val="24"/>
              </w:rPr>
              <w:t>一等奖</w:t>
            </w:r>
          </w:p>
        </w:tc>
        <w:tc>
          <w:tcPr>
            <w:tcW w:w="1440" w:type="dxa"/>
            <w:vAlign w:val="center"/>
          </w:tcPr>
          <w:p w14:paraId="55933131">
            <w:pPr>
              <w:spacing w:line="288" w:lineRule="auto"/>
              <w:jc w:val="center"/>
              <w:rPr>
                <w:rFonts w:ascii="宋体"/>
                <w:color w:val="auto"/>
                <w:sz w:val="24"/>
              </w:rPr>
            </w:pPr>
            <w:r>
              <w:rPr>
                <w:rFonts w:hint="eastAsia" w:ascii="宋体" w:hAnsi="宋体"/>
                <w:color w:val="auto"/>
                <w:sz w:val="24"/>
              </w:rPr>
              <w:t>二等奖</w:t>
            </w:r>
          </w:p>
        </w:tc>
        <w:tc>
          <w:tcPr>
            <w:tcW w:w="1440" w:type="dxa"/>
            <w:vAlign w:val="center"/>
          </w:tcPr>
          <w:p w14:paraId="07EFFBB2">
            <w:pPr>
              <w:spacing w:line="288" w:lineRule="auto"/>
              <w:jc w:val="center"/>
              <w:rPr>
                <w:rFonts w:ascii="宋体"/>
                <w:color w:val="auto"/>
                <w:sz w:val="24"/>
              </w:rPr>
            </w:pPr>
            <w:r>
              <w:rPr>
                <w:rFonts w:hint="eastAsia" w:ascii="宋体" w:hAnsi="宋体"/>
                <w:color w:val="auto"/>
                <w:sz w:val="24"/>
              </w:rPr>
              <w:t>三等奖</w:t>
            </w:r>
          </w:p>
        </w:tc>
        <w:tc>
          <w:tcPr>
            <w:tcW w:w="2160" w:type="dxa"/>
            <w:vAlign w:val="center"/>
          </w:tcPr>
          <w:p w14:paraId="28A94137">
            <w:pPr>
              <w:spacing w:line="288" w:lineRule="auto"/>
              <w:jc w:val="center"/>
              <w:rPr>
                <w:rFonts w:ascii="宋体"/>
                <w:color w:val="auto"/>
                <w:sz w:val="24"/>
              </w:rPr>
            </w:pPr>
            <w:r>
              <w:rPr>
                <w:rFonts w:hint="eastAsia" w:ascii="宋体" w:hAnsi="宋体"/>
                <w:color w:val="auto"/>
                <w:sz w:val="24"/>
              </w:rPr>
              <w:t>优秀奖（入围奖）</w:t>
            </w:r>
          </w:p>
        </w:tc>
      </w:tr>
      <w:tr w14:paraId="5ABF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083" w:type="dxa"/>
            <w:vAlign w:val="center"/>
          </w:tcPr>
          <w:p w14:paraId="28670E44">
            <w:pPr>
              <w:spacing w:line="288" w:lineRule="auto"/>
              <w:jc w:val="center"/>
              <w:rPr>
                <w:rFonts w:ascii="宋体" w:hAnsi="宋体"/>
                <w:color w:val="auto"/>
                <w:sz w:val="24"/>
              </w:rPr>
            </w:pPr>
            <w:r>
              <w:rPr>
                <w:rFonts w:ascii="宋体" w:hAnsi="宋体"/>
                <w:color w:val="auto"/>
                <w:sz w:val="24"/>
              </w:rPr>
              <w:t>Red Dot</w:t>
            </w:r>
            <w:r>
              <w:rPr>
                <w:rFonts w:hint="eastAsia" w:ascii="宋体" w:hAnsi="宋体"/>
                <w:color w:val="auto"/>
                <w:sz w:val="24"/>
              </w:rPr>
              <w:t>、</w:t>
            </w:r>
            <w:r>
              <w:rPr>
                <w:rFonts w:ascii="宋体" w:hAnsi="宋体"/>
                <w:color w:val="auto"/>
                <w:sz w:val="24"/>
              </w:rPr>
              <w:t>IF</w:t>
            </w:r>
            <w:r>
              <w:rPr>
                <w:rFonts w:hint="eastAsia" w:ascii="宋体" w:hAnsi="宋体"/>
                <w:color w:val="auto"/>
                <w:sz w:val="24"/>
              </w:rPr>
              <w:t>等国际著名竞赛获奖</w:t>
            </w:r>
            <w:r>
              <w:rPr>
                <w:rFonts w:ascii="宋体" w:hAnsi="宋体"/>
                <w:color w:val="auto"/>
                <w:sz w:val="24"/>
              </w:rPr>
              <w:t>1</w:t>
            </w:r>
            <w:r>
              <w:rPr>
                <w:rFonts w:hint="eastAsia" w:ascii="宋体" w:hAnsi="宋体"/>
                <w:color w:val="auto"/>
                <w:sz w:val="24"/>
              </w:rPr>
              <w:t>项（前</w:t>
            </w:r>
            <w:r>
              <w:rPr>
                <w:rFonts w:ascii="宋体" w:hAnsi="宋体"/>
                <w:color w:val="auto"/>
                <w:sz w:val="24"/>
              </w:rPr>
              <w:t>3</w:t>
            </w:r>
            <w:r>
              <w:rPr>
                <w:rFonts w:hint="eastAsia" w:ascii="宋体" w:hAnsi="宋体"/>
                <w:color w:val="auto"/>
                <w:sz w:val="24"/>
              </w:rPr>
              <w:t>名）</w:t>
            </w:r>
          </w:p>
        </w:tc>
        <w:tc>
          <w:tcPr>
            <w:tcW w:w="1440" w:type="dxa"/>
            <w:vAlign w:val="center"/>
          </w:tcPr>
          <w:p w14:paraId="0BEF57F8">
            <w:pPr>
              <w:spacing w:line="288" w:lineRule="auto"/>
              <w:jc w:val="center"/>
              <w:rPr>
                <w:rFonts w:ascii="宋体" w:hAnsi="宋体"/>
                <w:color w:val="auto"/>
                <w:sz w:val="24"/>
              </w:rPr>
            </w:pPr>
            <w:r>
              <w:rPr>
                <w:rFonts w:hint="eastAsia" w:ascii="宋体" w:hAnsi="宋体"/>
                <w:color w:val="auto"/>
                <w:sz w:val="24"/>
              </w:rPr>
              <w:t>30分</w:t>
            </w:r>
          </w:p>
        </w:tc>
        <w:tc>
          <w:tcPr>
            <w:tcW w:w="1440" w:type="dxa"/>
            <w:vAlign w:val="center"/>
          </w:tcPr>
          <w:p w14:paraId="137A7311">
            <w:pPr>
              <w:spacing w:line="288" w:lineRule="auto"/>
              <w:jc w:val="center"/>
              <w:rPr>
                <w:rFonts w:ascii="宋体" w:hAnsi="宋体"/>
                <w:color w:val="auto"/>
                <w:sz w:val="24"/>
              </w:rPr>
            </w:pPr>
            <w:r>
              <w:rPr>
                <w:rFonts w:hint="eastAsia" w:ascii="宋体" w:hAnsi="宋体"/>
                <w:color w:val="auto"/>
                <w:sz w:val="24"/>
              </w:rPr>
              <w:t>20分</w:t>
            </w:r>
          </w:p>
        </w:tc>
        <w:tc>
          <w:tcPr>
            <w:tcW w:w="1440" w:type="dxa"/>
            <w:vAlign w:val="center"/>
          </w:tcPr>
          <w:p w14:paraId="400B1D13">
            <w:pPr>
              <w:spacing w:line="288" w:lineRule="auto"/>
              <w:jc w:val="center"/>
              <w:rPr>
                <w:rFonts w:ascii="宋体" w:hAnsi="宋体"/>
                <w:color w:val="auto"/>
                <w:sz w:val="24"/>
              </w:rPr>
            </w:pPr>
            <w:r>
              <w:rPr>
                <w:rFonts w:hint="eastAsia" w:ascii="宋体" w:hAnsi="宋体"/>
                <w:color w:val="auto"/>
                <w:sz w:val="24"/>
              </w:rPr>
              <w:t>15分</w:t>
            </w:r>
          </w:p>
        </w:tc>
        <w:tc>
          <w:tcPr>
            <w:tcW w:w="2160" w:type="dxa"/>
            <w:vAlign w:val="center"/>
          </w:tcPr>
          <w:p w14:paraId="7AB76847">
            <w:pPr>
              <w:spacing w:line="288" w:lineRule="auto"/>
              <w:jc w:val="center"/>
              <w:rPr>
                <w:rFonts w:ascii="宋体"/>
                <w:color w:val="auto"/>
                <w:sz w:val="24"/>
              </w:rPr>
            </w:pPr>
            <w:r>
              <w:rPr>
                <w:rFonts w:hint="eastAsia" w:ascii="宋体"/>
                <w:color w:val="auto"/>
                <w:sz w:val="24"/>
              </w:rPr>
              <w:t>8分</w:t>
            </w:r>
          </w:p>
        </w:tc>
      </w:tr>
      <w:tr w14:paraId="3A4F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083" w:type="dxa"/>
            <w:vAlign w:val="center"/>
          </w:tcPr>
          <w:p w14:paraId="5FC203F0">
            <w:pPr>
              <w:spacing w:line="288" w:lineRule="auto"/>
              <w:jc w:val="center"/>
              <w:rPr>
                <w:rFonts w:ascii="宋体"/>
                <w:color w:val="auto"/>
                <w:sz w:val="24"/>
              </w:rPr>
            </w:pPr>
            <w:r>
              <w:rPr>
                <w:rFonts w:hint="eastAsia" w:ascii="宋体" w:hAnsi="宋体"/>
                <w:color w:val="auto"/>
                <w:sz w:val="24"/>
              </w:rPr>
              <w:t>获国家级竞赛一等奖（前</w:t>
            </w:r>
            <w:r>
              <w:rPr>
                <w:rFonts w:ascii="宋体" w:hAnsi="宋体"/>
                <w:color w:val="auto"/>
                <w:sz w:val="24"/>
              </w:rPr>
              <w:t>3</w:t>
            </w:r>
            <w:r>
              <w:rPr>
                <w:rFonts w:hint="eastAsia" w:ascii="宋体" w:hAnsi="宋体"/>
                <w:color w:val="auto"/>
                <w:sz w:val="24"/>
              </w:rPr>
              <w:t>名）</w:t>
            </w:r>
          </w:p>
        </w:tc>
        <w:tc>
          <w:tcPr>
            <w:tcW w:w="1440" w:type="dxa"/>
            <w:vAlign w:val="center"/>
          </w:tcPr>
          <w:p w14:paraId="08A2AE17">
            <w:pPr>
              <w:spacing w:line="288" w:lineRule="auto"/>
              <w:jc w:val="center"/>
              <w:rPr>
                <w:rFonts w:ascii="宋体"/>
                <w:color w:val="auto"/>
                <w:sz w:val="24"/>
              </w:rPr>
            </w:pPr>
            <w:r>
              <w:rPr>
                <w:rFonts w:hint="eastAsia" w:ascii="宋体" w:hAnsi="宋体"/>
                <w:color w:val="auto"/>
                <w:sz w:val="24"/>
              </w:rPr>
              <w:t>18分</w:t>
            </w:r>
          </w:p>
        </w:tc>
        <w:tc>
          <w:tcPr>
            <w:tcW w:w="1440" w:type="dxa"/>
            <w:vAlign w:val="center"/>
          </w:tcPr>
          <w:p w14:paraId="35E90429">
            <w:pPr>
              <w:spacing w:line="288" w:lineRule="auto"/>
              <w:jc w:val="center"/>
              <w:rPr>
                <w:rFonts w:ascii="宋体"/>
                <w:color w:val="auto"/>
                <w:sz w:val="24"/>
              </w:rPr>
            </w:pPr>
            <w:r>
              <w:rPr>
                <w:rFonts w:ascii="宋体" w:hAnsi="宋体"/>
                <w:color w:val="auto"/>
                <w:sz w:val="24"/>
              </w:rPr>
              <w:t>15</w:t>
            </w:r>
            <w:r>
              <w:rPr>
                <w:rFonts w:hint="eastAsia" w:ascii="宋体" w:hAnsi="宋体"/>
                <w:color w:val="auto"/>
                <w:sz w:val="24"/>
              </w:rPr>
              <w:t>分</w:t>
            </w:r>
          </w:p>
        </w:tc>
        <w:tc>
          <w:tcPr>
            <w:tcW w:w="1440" w:type="dxa"/>
            <w:vAlign w:val="center"/>
          </w:tcPr>
          <w:p w14:paraId="1C406853">
            <w:pPr>
              <w:spacing w:line="288" w:lineRule="auto"/>
              <w:jc w:val="center"/>
              <w:rPr>
                <w:rFonts w:ascii="宋体"/>
                <w:color w:val="auto"/>
                <w:sz w:val="24"/>
              </w:rPr>
            </w:pPr>
            <w:r>
              <w:rPr>
                <w:rFonts w:ascii="宋体" w:hAnsi="宋体"/>
                <w:color w:val="auto"/>
                <w:sz w:val="24"/>
              </w:rPr>
              <w:t>12</w:t>
            </w:r>
            <w:r>
              <w:rPr>
                <w:rFonts w:hint="eastAsia" w:ascii="宋体" w:hAnsi="宋体"/>
                <w:color w:val="auto"/>
                <w:sz w:val="24"/>
              </w:rPr>
              <w:t>分</w:t>
            </w:r>
          </w:p>
        </w:tc>
        <w:tc>
          <w:tcPr>
            <w:tcW w:w="2160" w:type="dxa"/>
            <w:vAlign w:val="center"/>
          </w:tcPr>
          <w:p w14:paraId="27D5C043">
            <w:pPr>
              <w:spacing w:line="288" w:lineRule="auto"/>
              <w:jc w:val="center"/>
              <w:rPr>
                <w:rFonts w:ascii="宋体"/>
                <w:color w:val="auto"/>
                <w:sz w:val="24"/>
              </w:rPr>
            </w:pPr>
            <w:r>
              <w:rPr>
                <w:rFonts w:hint="eastAsia" w:ascii="宋体"/>
                <w:color w:val="auto"/>
                <w:sz w:val="24"/>
              </w:rPr>
              <w:t>5</w:t>
            </w:r>
          </w:p>
        </w:tc>
      </w:tr>
      <w:tr w14:paraId="2C78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083" w:type="dxa"/>
            <w:vAlign w:val="center"/>
          </w:tcPr>
          <w:p w14:paraId="4C7BA3C7">
            <w:pPr>
              <w:spacing w:line="288" w:lineRule="auto"/>
              <w:jc w:val="center"/>
              <w:rPr>
                <w:rFonts w:ascii="宋体"/>
                <w:color w:val="auto"/>
                <w:sz w:val="24"/>
              </w:rPr>
            </w:pPr>
            <w:r>
              <w:rPr>
                <w:rFonts w:hint="eastAsia" w:ascii="宋体" w:hAnsi="宋体"/>
                <w:color w:val="auto"/>
                <w:sz w:val="24"/>
              </w:rPr>
              <w:t>省部级</w:t>
            </w:r>
            <w:r>
              <w:rPr>
                <w:rFonts w:ascii="宋体" w:hAnsi="宋体"/>
                <w:color w:val="auto"/>
                <w:sz w:val="24"/>
              </w:rPr>
              <w:t>(</w:t>
            </w:r>
            <w:r>
              <w:rPr>
                <w:rFonts w:hint="eastAsia" w:ascii="宋体" w:hAnsi="宋体"/>
                <w:color w:val="auto"/>
                <w:sz w:val="24"/>
              </w:rPr>
              <w:t>前</w:t>
            </w:r>
            <w:r>
              <w:rPr>
                <w:rFonts w:ascii="宋体" w:hAnsi="宋体"/>
                <w:color w:val="auto"/>
                <w:sz w:val="24"/>
              </w:rPr>
              <w:t>3</w:t>
            </w:r>
            <w:r>
              <w:rPr>
                <w:rFonts w:hint="eastAsia" w:ascii="宋体" w:hAnsi="宋体"/>
                <w:color w:val="auto"/>
                <w:sz w:val="24"/>
              </w:rPr>
              <w:t>名</w:t>
            </w:r>
            <w:r>
              <w:rPr>
                <w:rFonts w:ascii="宋体" w:hAnsi="宋体"/>
                <w:color w:val="auto"/>
                <w:sz w:val="24"/>
              </w:rPr>
              <w:t>)</w:t>
            </w:r>
          </w:p>
        </w:tc>
        <w:tc>
          <w:tcPr>
            <w:tcW w:w="1440" w:type="dxa"/>
            <w:vAlign w:val="center"/>
          </w:tcPr>
          <w:p w14:paraId="6561FDEC">
            <w:pPr>
              <w:spacing w:line="288" w:lineRule="auto"/>
              <w:jc w:val="center"/>
              <w:rPr>
                <w:rFonts w:ascii="宋体"/>
                <w:color w:val="auto"/>
                <w:sz w:val="24"/>
              </w:rPr>
            </w:pPr>
            <w:r>
              <w:rPr>
                <w:rFonts w:hint="eastAsia" w:ascii="宋体" w:hAnsi="宋体"/>
                <w:color w:val="auto"/>
                <w:sz w:val="24"/>
              </w:rPr>
              <w:t>12分</w:t>
            </w:r>
          </w:p>
        </w:tc>
        <w:tc>
          <w:tcPr>
            <w:tcW w:w="1440" w:type="dxa"/>
            <w:vAlign w:val="center"/>
          </w:tcPr>
          <w:p w14:paraId="505FF7A3">
            <w:pPr>
              <w:spacing w:line="288" w:lineRule="auto"/>
              <w:jc w:val="center"/>
              <w:rPr>
                <w:rFonts w:ascii="宋体"/>
                <w:color w:val="auto"/>
                <w:sz w:val="24"/>
              </w:rPr>
            </w:pPr>
            <w:r>
              <w:rPr>
                <w:rFonts w:hint="eastAsia" w:ascii="宋体" w:hAnsi="宋体"/>
                <w:color w:val="auto"/>
                <w:sz w:val="24"/>
              </w:rPr>
              <w:t>10分</w:t>
            </w:r>
          </w:p>
        </w:tc>
        <w:tc>
          <w:tcPr>
            <w:tcW w:w="1440" w:type="dxa"/>
            <w:vAlign w:val="center"/>
          </w:tcPr>
          <w:p w14:paraId="6EB68B9B">
            <w:pPr>
              <w:spacing w:line="288" w:lineRule="auto"/>
              <w:jc w:val="center"/>
              <w:rPr>
                <w:rFonts w:ascii="宋体"/>
                <w:color w:val="auto"/>
                <w:sz w:val="24"/>
              </w:rPr>
            </w:pPr>
            <w:r>
              <w:rPr>
                <w:rFonts w:hint="eastAsia" w:ascii="宋体" w:hAnsi="宋体"/>
                <w:color w:val="auto"/>
                <w:sz w:val="24"/>
              </w:rPr>
              <w:t>8分</w:t>
            </w:r>
          </w:p>
        </w:tc>
        <w:tc>
          <w:tcPr>
            <w:tcW w:w="2160" w:type="dxa"/>
            <w:vAlign w:val="center"/>
          </w:tcPr>
          <w:p w14:paraId="76026C55">
            <w:pPr>
              <w:spacing w:line="288" w:lineRule="auto"/>
              <w:jc w:val="center"/>
              <w:rPr>
                <w:rFonts w:ascii="宋体"/>
                <w:color w:val="auto"/>
                <w:sz w:val="24"/>
              </w:rPr>
            </w:pPr>
            <w:r>
              <w:rPr>
                <w:rFonts w:hint="eastAsia" w:ascii="宋体"/>
                <w:color w:val="auto"/>
                <w:sz w:val="24"/>
              </w:rPr>
              <w:t>2</w:t>
            </w:r>
          </w:p>
        </w:tc>
      </w:tr>
      <w:tr w14:paraId="2F11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083" w:type="dxa"/>
            <w:vAlign w:val="center"/>
          </w:tcPr>
          <w:p w14:paraId="3E4F7B06">
            <w:pPr>
              <w:spacing w:line="288" w:lineRule="auto"/>
              <w:jc w:val="center"/>
              <w:rPr>
                <w:rFonts w:ascii="宋体"/>
                <w:color w:val="auto"/>
                <w:sz w:val="24"/>
              </w:rPr>
            </w:pPr>
            <w:r>
              <w:rPr>
                <w:rFonts w:hint="eastAsia" w:ascii="宋体" w:hAnsi="宋体"/>
                <w:color w:val="auto"/>
                <w:sz w:val="24"/>
              </w:rPr>
              <w:t>厅局级</w:t>
            </w:r>
            <w:r>
              <w:rPr>
                <w:rFonts w:ascii="宋体" w:hAnsi="宋体"/>
                <w:color w:val="auto"/>
                <w:sz w:val="24"/>
              </w:rPr>
              <w:t>(</w:t>
            </w:r>
            <w:r>
              <w:rPr>
                <w:rFonts w:hint="eastAsia" w:ascii="宋体" w:hAnsi="宋体"/>
                <w:color w:val="auto"/>
                <w:sz w:val="24"/>
              </w:rPr>
              <w:t>前</w:t>
            </w:r>
            <w:r>
              <w:rPr>
                <w:rFonts w:ascii="宋体" w:hAnsi="宋体"/>
                <w:color w:val="auto"/>
                <w:sz w:val="24"/>
              </w:rPr>
              <w:t>2</w:t>
            </w:r>
            <w:r>
              <w:rPr>
                <w:rFonts w:hint="eastAsia" w:ascii="宋体" w:hAnsi="宋体"/>
                <w:color w:val="auto"/>
                <w:sz w:val="24"/>
              </w:rPr>
              <w:t>名</w:t>
            </w:r>
            <w:r>
              <w:rPr>
                <w:rFonts w:ascii="宋体" w:hAnsi="宋体"/>
                <w:color w:val="auto"/>
                <w:sz w:val="24"/>
              </w:rPr>
              <w:t>)</w:t>
            </w:r>
          </w:p>
        </w:tc>
        <w:tc>
          <w:tcPr>
            <w:tcW w:w="1440" w:type="dxa"/>
            <w:vAlign w:val="center"/>
          </w:tcPr>
          <w:p w14:paraId="05893954">
            <w:pPr>
              <w:spacing w:line="288" w:lineRule="auto"/>
              <w:jc w:val="center"/>
              <w:rPr>
                <w:rFonts w:ascii="宋体"/>
                <w:color w:val="auto"/>
                <w:sz w:val="24"/>
              </w:rPr>
            </w:pPr>
            <w:r>
              <w:rPr>
                <w:rFonts w:hint="eastAsia" w:ascii="宋体" w:hAnsi="宋体"/>
                <w:color w:val="auto"/>
                <w:sz w:val="24"/>
              </w:rPr>
              <w:t>5分</w:t>
            </w:r>
          </w:p>
        </w:tc>
        <w:tc>
          <w:tcPr>
            <w:tcW w:w="1440" w:type="dxa"/>
            <w:vAlign w:val="center"/>
          </w:tcPr>
          <w:p w14:paraId="11380341">
            <w:pPr>
              <w:spacing w:line="288" w:lineRule="auto"/>
              <w:jc w:val="center"/>
              <w:rPr>
                <w:rFonts w:ascii="宋体"/>
                <w:color w:val="auto"/>
                <w:sz w:val="24"/>
              </w:rPr>
            </w:pPr>
            <w:r>
              <w:rPr>
                <w:rFonts w:hint="eastAsia" w:ascii="宋体" w:hAnsi="宋体"/>
                <w:color w:val="auto"/>
                <w:sz w:val="24"/>
              </w:rPr>
              <w:t>3分</w:t>
            </w:r>
          </w:p>
        </w:tc>
        <w:tc>
          <w:tcPr>
            <w:tcW w:w="1440" w:type="dxa"/>
            <w:vAlign w:val="center"/>
          </w:tcPr>
          <w:p w14:paraId="71CBD213">
            <w:pPr>
              <w:spacing w:line="288" w:lineRule="auto"/>
              <w:jc w:val="center"/>
              <w:rPr>
                <w:rFonts w:ascii="宋体"/>
                <w:color w:val="auto"/>
                <w:sz w:val="24"/>
              </w:rPr>
            </w:pPr>
            <w:r>
              <w:rPr>
                <w:rFonts w:hint="eastAsia" w:ascii="宋体" w:hAnsi="宋体"/>
                <w:color w:val="auto"/>
                <w:sz w:val="24"/>
              </w:rPr>
              <w:t>2分</w:t>
            </w:r>
          </w:p>
        </w:tc>
        <w:tc>
          <w:tcPr>
            <w:tcW w:w="2160" w:type="dxa"/>
            <w:vAlign w:val="center"/>
          </w:tcPr>
          <w:p w14:paraId="3F90A594">
            <w:pPr>
              <w:spacing w:line="288" w:lineRule="auto"/>
              <w:jc w:val="center"/>
              <w:rPr>
                <w:rFonts w:ascii="宋体"/>
                <w:color w:val="auto"/>
                <w:sz w:val="24"/>
              </w:rPr>
            </w:pPr>
            <w:r>
              <w:rPr>
                <w:rFonts w:hint="eastAsia" w:ascii="宋体"/>
                <w:color w:val="auto"/>
                <w:sz w:val="24"/>
              </w:rPr>
              <w:t>1</w:t>
            </w:r>
          </w:p>
        </w:tc>
      </w:tr>
      <w:tr w14:paraId="2431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2083" w:type="dxa"/>
            <w:vAlign w:val="center"/>
          </w:tcPr>
          <w:p w14:paraId="1A16FFA2">
            <w:pPr>
              <w:spacing w:line="288" w:lineRule="auto"/>
              <w:jc w:val="center"/>
              <w:rPr>
                <w:rFonts w:ascii="宋体"/>
                <w:color w:val="auto"/>
                <w:sz w:val="24"/>
              </w:rPr>
            </w:pPr>
            <w:r>
              <w:rPr>
                <w:rFonts w:hint="eastAsia" w:ascii="宋体" w:hAnsi="宋体"/>
                <w:color w:val="auto"/>
                <w:sz w:val="24"/>
              </w:rPr>
              <w:t>校级或企业（排名第一）</w:t>
            </w:r>
          </w:p>
        </w:tc>
        <w:tc>
          <w:tcPr>
            <w:tcW w:w="1440" w:type="dxa"/>
            <w:vAlign w:val="center"/>
          </w:tcPr>
          <w:p w14:paraId="58DDD088">
            <w:pPr>
              <w:spacing w:line="288" w:lineRule="auto"/>
              <w:jc w:val="center"/>
              <w:rPr>
                <w:rFonts w:ascii="宋体"/>
                <w:color w:val="auto"/>
                <w:sz w:val="24"/>
              </w:rPr>
            </w:pPr>
            <w:r>
              <w:rPr>
                <w:rFonts w:hint="eastAsia" w:ascii="宋体" w:hAnsi="宋体"/>
                <w:color w:val="auto"/>
                <w:sz w:val="24"/>
              </w:rPr>
              <w:t>2分</w:t>
            </w:r>
          </w:p>
        </w:tc>
        <w:tc>
          <w:tcPr>
            <w:tcW w:w="1440" w:type="dxa"/>
            <w:vAlign w:val="center"/>
          </w:tcPr>
          <w:p w14:paraId="62B1D11E">
            <w:pPr>
              <w:spacing w:line="288" w:lineRule="auto"/>
              <w:jc w:val="center"/>
              <w:rPr>
                <w:rFonts w:ascii="宋体"/>
                <w:color w:val="auto"/>
                <w:sz w:val="24"/>
              </w:rPr>
            </w:pPr>
            <w:r>
              <w:rPr>
                <w:rFonts w:hint="eastAsia" w:ascii="宋体" w:hAnsi="宋体"/>
                <w:color w:val="auto"/>
                <w:sz w:val="24"/>
              </w:rPr>
              <w:t>1分</w:t>
            </w:r>
          </w:p>
        </w:tc>
        <w:tc>
          <w:tcPr>
            <w:tcW w:w="1440" w:type="dxa"/>
            <w:vAlign w:val="center"/>
          </w:tcPr>
          <w:p w14:paraId="7F9227F1">
            <w:pPr>
              <w:spacing w:line="288" w:lineRule="auto"/>
              <w:jc w:val="center"/>
              <w:rPr>
                <w:rFonts w:ascii="宋体"/>
                <w:color w:val="auto"/>
                <w:sz w:val="24"/>
              </w:rPr>
            </w:pPr>
            <w:r>
              <w:rPr>
                <w:rFonts w:hint="eastAsia" w:ascii="宋体" w:hAnsi="宋体"/>
                <w:color w:val="auto"/>
                <w:sz w:val="24"/>
              </w:rPr>
              <w:t>0.5分</w:t>
            </w:r>
          </w:p>
        </w:tc>
        <w:tc>
          <w:tcPr>
            <w:tcW w:w="2160" w:type="dxa"/>
            <w:vAlign w:val="center"/>
          </w:tcPr>
          <w:p w14:paraId="029F39B3">
            <w:pPr>
              <w:spacing w:line="288" w:lineRule="auto"/>
              <w:jc w:val="center"/>
              <w:rPr>
                <w:rFonts w:ascii="宋体"/>
                <w:color w:val="auto"/>
                <w:sz w:val="24"/>
              </w:rPr>
            </w:pPr>
            <w:r>
              <w:rPr>
                <w:rFonts w:hint="eastAsia" w:ascii="宋体"/>
                <w:color w:val="auto"/>
                <w:sz w:val="24"/>
              </w:rPr>
              <w:t>0</w:t>
            </w:r>
          </w:p>
        </w:tc>
      </w:tr>
      <w:tr w14:paraId="65E0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1" w:hRule="atLeast"/>
          <w:jc w:val="center"/>
        </w:trPr>
        <w:tc>
          <w:tcPr>
            <w:tcW w:w="8563" w:type="dxa"/>
            <w:gridSpan w:val="5"/>
            <w:vAlign w:val="center"/>
          </w:tcPr>
          <w:p w14:paraId="14C09CC1">
            <w:pPr>
              <w:spacing w:line="288" w:lineRule="auto"/>
              <w:rPr>
                <w:rFonts w:ascii="宋体"/>
                <w:color w:val="auto"/>
                <w:szCs w:val="21"/>
              </w:rPr>
            </w:pPr>
            <w:r>
              <w:rPr>
                <w:rFonts w:hint="eastAsia" w:ascii="宋体" w:hAnsi="宋体"/>
                <w:color w:val="auto"/>
                <w:szCs w:val="21"/>
              </w:rPr>
              <w:t>国家级指由国家各部委和全国性协会主办的创作、设计评奖；</w:t>
            </w:r>
          </w:p>
          <w:p w14:paraId="3E2612B8">
            <w:pPr>
              <w:spacing w:line="288" w:lineRule="auto"/>
              <w:rPr>
                <w:rFonts w:ascii="宋体"/>
                <w:color w:val="auto"/>
                <w:szCs w:val="21"/>
              </w:rPr>
            </w:pPr>
            <w:r>
              <w:rPr>
                <w:rFonts w:hint="eastAsia" w:ascii="宋体" w:hAnsi="宋体"/>
                <w:color w:val="auto"/>
                <w:szCs w:val="21"/>
              </w:rPr>
              <w:t>省部级指由省级各协会主办的创作、设计评奖；厅局级指由省属各厅主办的创作、设计评奖；企业类竞赛应为正规渠道发布、组织的竞赛；</w:t>
            </w:r>
            <w:r>
              <w:rPr>
                <w:rFonts w:ascii="宋体"/>
                <w:color w:val="auto"/>
                <w:szCs w:val="21"/>
              </w:rPr>
              <w:t xml:space="preserve"> </w:t>
            </w:r>
          </w:p>
          <w:p w14:paraId="3023418F">
            <w:pPr>
              <w:spacing w:line="288" w:lineRule="auto"/>
              <w:rPr>
                <w:rFonts w:ascii="宋体" w:hAnsi="宋体"/>
                <w:color w:val="auto"/>
                <w:szCs w:val="21"/>
              </w:rPr>
            </w:pPr>
            <w:r>
              <w:rPr>
                <w:rFonts w:hint="eastAsia" w:ascii="宋体" w:hAnsi="宋体"/>
                <w:color w:val="auto"/>
                <w:szCs w:val="21"/>
              </w:rPr>
              <w:t>备注：</w:t>
            </w:r>
            <w:r>
              <w:rPr>
                <w:rFonts w:ascii="宋体" w:hAnsi="宋体"/>
                <w:color w:val="auto"/>
                <w:szCs w:val="21"/>
              </w:rPr>
              <w:t>1.</w:t>
            </w:r>
            <w:r>
              <w:rPr>
                <w:rFonts w:hint="eastAsia" w:ascii="宋体" w:hAnsi="宋体"/>
                <w:color w:val="auto"/>
                <w:szCs w:val="21"/>
              </w:rPr>
              <w:t>非专业类的省级全国竞赛获奖，不参与计分；</w:t>
            </w:r>
          </w:p>
          <w:p w14:paraId="027F9D19">
            <w:pPr>
              <w:spacing w:line="288" w:lineRule="auto"/>
              <w:rPr>
                <w:rFonts w:ascii="宋体"/>
                <w:color w:val="auto"/>
                <w:szCs w:val="21"/>
              </w:rPr>
            </w:pPr>
            <w:r>
              <w:rPr>
                <w:rFonts w:ascii="宋体" w:hAnsi="宋体"/>
                <w:color w:val="auto"/>
                <w:szCs w:val="21"/>
              </w:rPr>
              <w:t xml:space="preserve">   </w:t>
            </w:r>
            <w:r>
              <w:rPr>
                <w:rFonts w:hint="eastAsia" w:ascii="宋体" w:hAnsi="宋体"/>
                <w:color w:val="auto"/>
                <w:szCs w:val="21"/>
              </w:rPr>
              <w:t xml:space="preserve"> </w:t>
            </w:r>
            <w:r>
              <w:rPr>
                <w:rFonts w:ascii="宋体" w:hAnsi="宋体"/>
                <w:color w:val="auto"/>
                <w:szCs w:val="21"/>
              </w:rPr>
              <w:t xml:space="preserve">  </w:t>
            </w:r>
            <w:r>
              <w:rPr>
                <w:rFonts w:hint="eastAsia" w:ascii="宋体" w:hAnsi="宋体"/>
                <w:color w:val="auto"/>
                <w:szCs w:val="21"/>
              </w:rPr>
              <w:t>2</w:t>
            </w:r>
            <w:r>
              <w:rPr>
                <w:rFonts w:ascii="宋体" w:hAnsi="宋体"/>
                <w:color w:val="auto"/>
                <w:szCs w:val="21"/>
              </w:rPr>
              <w:t>.</w:t>
            </w:r>
            <w:r>
              <w:rPr>
                <w:rFonts w:hint="eastAsia" w:ascii="宋体" w:hAnsi="宋体"/>
                <w:color w:val="auto"/>
                <w:szCs w:val="21"/>
              </w:rPr>
              <w:t>同一作品在省级和国家级同时获奖，按最高分计入；</w:t>
            </w:r>
          </w:p>
          <w:p w14:paraId="4B3541B8">
            <w:pPr>
              <w:spacing w:line="288" w:lineRule="auto"/>
              <w:rPr>
                <w:rFonts w:ascii="宋体"/>
                <w:color w:val="auto"/>
                <w:szCs w:val="21"/>
              </w:rPr>
            </w:pPr>
            <w:r>
              <w:rPr>
                <w:rFonts w:ascii="宋体" w:hAnsi="宋体"/>
                <w:color w:val="auto"/>
                <w:szCs w:val="21"/>
              </w:rPr>
              <w:t xml:space="preserve">      </w:t>
            </w:r>
            <w:r>
              <w:rPr>
                <w:rFonts w:hint="eastAsia" w:ascii="宋体" w:hAnsi="宋体"/>
                <w:color w:val="auto"/>
                <w:szCs w:val="21"/>
              </w:rPr>
              <w:t>3</w:t>
            </w:r>
            <w:r>
              <w:rPr>
                <w:rFonts w:ascii="宋体" w:hAnsi="宋体"/>
                <w:color w:val="auto"/>
                <w:szCs w:val="21"/>
              </w:rPr>
              <w:t>.</w:t>
            </w:r>
            <w:r>
              <w:rPr>
                <w:rFonts w:hint="eastAsia" w:ascii="宋体" w:hAnsi="宋体"/>
                <w:color w:val="auto"/>
                <w:szCs w:val="21"/>
              </w:rPr>
              <w:t>团体</w:t>
            </w:r>
            <w:r>
              <w:rPr>
                <w:rFonts w:ascii="宋体" w:hAnsi="宋体"/>
                <w:color w:val="auto"/>
                <w:szCs w:val="21"/>
              </w:rPr>
              <w:t>获奖</w:t>
            </w:r>
            <w:r>
              <w:rPr>
                <w:rFonts w:hint="eastAsia" w:ascii="宋体" w:hAnsi="宋体"/>
                <w:color w:val="auto"/>
                <w:szCs w:val="21"/>
                <w:lang w:val="en-US" w:eastAsia="zh-CN"/>
              </w:rPr>
              <w:t>遵照工作量分配总得分；无法按照工作量分配则按照</w:t>
            </w:r>
            <w:r>
              <w:rPr>
                <w:rFonts w:ascii="宋体" w:hAnsi="宋体"/>
                <w:color w:val="auto"/>
                <w:szCs w:val="21"/>
              </w:rPr>
              <w:t>第一作者</w:t>
            </w:r>
            <w:r>
              <w:rPr>
                <w:rFonts w:hint="eastAsia" w:ascii="宋体" w:hAnsi="宋体"/>
                <w:color w:val="auto"/>
                <w:szCs w:val="21"/>
              </w:rPr>
              <w:t>按得</w:t>
            </w:r>
            <w:r>
              <w:rPr>
                <w:rFonts w:ascii="宋体" w:hAnsi="宋体"/>
                <w:color w:val="auto"/>
                <w:szCs w:val="21"/>
              </w:rPr>
              <w:t>分</w:t>
            </w:r>
            <w:r>
              <w:rPr>
                <w:rFonts w:hint="eastAsia" w:ascii="宋体" w:hAnsi="宋体"/>
                <w:color w:val="auto"/>
                <w:szCs w:val="21"/>
              </w:rPr>
              <w:t>50</w:t>
            </w:r>
            <w:r>
              <w:rPr>
                <w:rFonts w:ascii="宋体" w:hAnsi="宋体"/>
                <w:color w:val="auto"/>
                <w:szCs w:val="21"/>
              </w:rPr>
              <w:t>%</w:t>
            </w:r>
            <w:r>
              <w:rPr>
                <w:rFonts w:hint="eastAsia" w:ascii="宋体" w:hAnsi="宋体"/>
                <w:color w:val="auto"/>
                <w:szCs w:val="21"/>
              </w:rPr>
              <w:t>计分</w:t>
            </w:r>
            <w:r>
              <w:rPr>
                <w:rFonts w:ascii="宋体" w:hAnsi="宋体"/>
                <w:color w:val="auto"/>
                <w:szCs w:val="21"/>
              </w:rPr>
              <w:t>，第二作者</w:t>
            </w:r>
            <w:r>
              <w:rPr>
                <w:rFonts w:hint="eastAsia" w:ascii="宋体" w:hAnsi="宋体"/>
                <w:color w:val="auto"/>
                <w:szCs w:val="21"/>
              </w:rPr>
              <w:t>按得</w:t>
            </w:r>
            <w:r>
              <w:rPr>
                <w:rFonts w:ascii="宋体" w:hAnsi="宋体"/>
                <w:color w:val="auto"/>
                <w:szCs w:val="21"/>
              </w:rPr>
              <w:t>分</w:t>
            </w:r>
            <w:r>
              <w:rPr>
                <w:rFonts w:hint="eastAsia" w:ascii="宋体" w:hAnsi="宋体"/>
                <w:color w:val="auto"/>
                <w:szCs w:val="21"/>
              </w:rPr>
              <w:t>30</w:t>
            </w:r>
            <w:r>
              <w:rPr>
                <w:rFonts w:ascii="宋体" w:hAnsi="宋体"/>
                <w:color w:val="auto"/>
                <w:szCs w:val="21"/>
              </w:rPr>
              <w:t>%</w:t>
            </w:r>
            <w:r>
              <w:rPr>
                <w:rFonts w:hint="eastAsia" w:ascii="宋体" w:hAnsi="宋体"/>
                <w:color w:val="auto"/>
                <w:szCs w:val="21"/>
              </w:rPr>
              <w:t>计分</w:t>
            </w:r>
            <w:r>
              <w:rPr>
                <w:rFonts w:ascii="宋体" w:hAnsi="宋体"/>
                <w:color w:val="auto"/>
                <w:szCs w:val="21"/>
              </w:rPr>
              <w:t>，第三作者</w:t>
            </w:r>
            <w:r>
              <w:rPr>
                <w:rFonts w:hint="eastAsia" w:ascii="宋体" w:hAnsi="宋体"/>
                <w:color w:val="auto"/>
                <w:szCs w:val="21"/>
              </w:rPr>
              <w:t>按得</w:t>
            </w:r>
            <w:r>
              <w:rPr>
                <w:rFonts w:ascii="宋体" w:hAnsi="宋体"/>
                <w:color w:val="auto"/>
                <w:szCs w:val="21"/>
              </w:rPr>
              <w:t>分</w:t>
            </w:r>
            <w:r>
              <w:rPr>
                <w:rFonts w:hint="eastAsia" w:ascii="宋体" w:hAnsi="宋体"/>
                <w:color w:val="auto"/>
                <w:szCs w:val="21"/>
              </w:rPr>
              <w:t>20</w:t>
            </w:r>
            <w:r>
              <w:rPr>
                <w:rFonts w:ascii="宋体" w:hAnsi="宋体"/>
                <w:color w:val="auto"/>
                <w:szCs w:val="21"/>
              </w:rPr>
              <w:t>%</w:t>
            </w:r>
            <w:r>
              <w:rPr>
                <w:rFonts w:hint="eastAsia" w:ascii="宋体" w:hAnsi="宋体"/>
                <w:color w:val="auto"/>
                <w:szCs w:val="21"/>
              </w:rPr>
              <w:t>计分</w:t>
            </w:r>
            <w:r>
              <w:rPr>
                <w:rFonts w:ascii="宋体" w:hAnsi="宋体"/>
                <w:color w:val="auto"/>
                <w:szCs w:val="21"/>
              </w:rPr>
              <w:t>，</w:t>
            </w:r>
            <w:r>
              <w:rPr>
                <w:rFonts w:hint="eastAsia" w:ascii="宋体" w:hAnsi="宋体"/>
                <w:color w:val="auto"/>
                <w:szCs w:val="21"/>
              </w:rPr>
              <w:t>获奖以第四作者出现，不参与计分；</w:t>
            </w:r>
          </w:p>
          <w:p w14:paraId="2AFBF8EF">
            <w:pPr>
              <w:spacing w:line="288" w:lineRule="auto"/>
              <w:rPr>
                <w:rFonts w:ascii="宋体"/>
                <w:color w:val="auto"/>
                <w:szCs w:val="21"/>
              </w:rPr>
            </w:pPr>
            <w:r>
              <w:rPr>
                <w:rFonts w:ascii="宋体" w:hAnsi="宋体"/>
                <w:color w:val="auto"/>
                <w:szCs w:val="21"/>
              </w:rPr>
              <w:t xml:space="preserve">      </w:t>
            </w:r>
            <w:r>
              <w:rPr>
                <w:rFonts w:hint="eastAsia" w:ascii="宋体" w:hAnsi="宋体"/>
                <w:color w:val="auto"/>
                <w:szCs w:val="21"/>
              </w:rPr>
              <w:t>4</w:t>
            </w:r>
            <w:r>
              <w:rPr>
                <w:rFonts w:ascii="宋体" w:hAnsi="宋体"/>
                <w:color w:val="auto"/>
                <w:szCs w:val="21"/>
              </w:rPr>
              <w:t>.</w:t>
            </w:r>
            <w:r>
              <w:rPr>
                <w:rFonts w:hint="eastAsia" w:ascii="宋体" w:hAnsi="宋体"/>
                <w:color w:val="auto"/>
                <w:szCs w:val="21"/>
              </w:rPr>
              <w:t>国家级协会、学会按省部级</w:t>
            </w:r>
            <w:r>
              <w:rPr>
                <w:rFonts w:ascii="宋体" w:hAnsi="宋体"/>
                <w:color w:val="auto"/>
                <w:szCs w:val="21"/>
              </w:rPr>
              <w:t xml:space="preserve"> </w:t>
            </w:r>
            <w:r>
              <w:rPr>
                <w:rFonts w:hint="eastAsia" w:ascii="宋体" w:hAnsi="宋体"/>
                <w:color w:val="auto"/>
                <w:szCs w:val="21"/>
              </w:rPr>
              <w:t>计分；省级学会、协会按厅局级参与计分；</w:t>
            </w:r>
          </w:p>
          <w:p w14:paraId="7947CDD7">
            <w:pPr>
              <w:spacing w:line="288" w:lineRule="auto"/>
              <w:rPr>
                <w:rFonts w:ascii="宋体"/>
                <w:color w:val="auto"/>
                <w:sz w:val="24"/>
              </w:rPr>
            </w:pPr>
            <w:r>
              <w:rPr>
                <w:rFonts w:ascii="宋体" w:hAnsi="宋体"/>
                <w:color w:val="auto"/>
                <w:szCs w:val="21"/>
              </w:rPr>
              <w:t xml:space="preserve">      </w:t>
            </w:r>
            <w:r>
              <w:rPr>
                <w:rFonts w:hint="eastAsia" w:ascii="宋体" w:hAnsi="宋体"/>
                <w:color w:val="auto"/>
                <w:szCs w:val="21"/>
              </w:rPr>
              <w:t>5</w:t>
            </w:r>
            <w:r>
              <w:rPr>
                <w:rFonts w:ascii="宋体" w:hAnsi="宋体"/>
                <w:color w:val="auto"/>
                <w:szCs w:val="21"/>
              </w:rPr>
              <w:t>.</w:t>
            </w:r>
            <w:r>
              <w:rPr>
                <w:rFonts w:hint="eastAsia" w:ascii="宋体" w:hAnsi="宋体"/>
                <w:color w:val="auto"/>
                <w:szCs w:val="21"/>
              </w:rPr>
              <w:t>奖项有特等奖的降级加分；</w:t>
            </w:r>
          </w:p>
        </w:tc>
      </w:tr>
    </w:tbl>
    <w:p w14:paraId="04071525">
      <w:pPr>
        <w:spacing w:line="360" w:lineRule="auto"/>
        <w:rPr>
          <w:rFonts w:ascii="宋体"/>
          <w:color w:val="auto"/>
          <w:sz w:val="24"/>
        </w:rPr>
      </w:pPr>
      <w:r>
        <w:rPr>
          <w:rFonts w:hint="eastAsia" w:ascii="宋体"/>
          <w:color w:val="auto"/>
          <w:sz w:val="24"/>
        </w:rPr>
        <w:t>（2）专利</w:t>
      </w:r>
    </w:p>
    <w:tbl>
      <w:tblPr>
        <w:tblStyle w:val="6"/>
        <w:tblW w:w="879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835"/>
        <w:gridCol w:w="1417"/>
        <w:gridCol w:w="3686"/>
      </w:tblGrid>
      <w:tr w14:paraId="3A858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52" w:type="dxa"/>
          </w:tcPr>
          <w:p w14:paraId="6891C589">
            <w:pPr>
              <w:spacing w:line="300" w:lineRule="auto"/>
              <w:jc w:val="center"/>
              <w:rPr>
                <w:rFonts w:ascii="宋体"/>
                <w:color w:val="auto"/>
                <w:sz w:val="24"/>
              </w:rPr>
            </w:pPr>
            <w:r>
              <w:rPr>
                <w:rFonts w:hint="eastAsia" w:ascii="宋体" w:hAnsi="宋体"/>
                <w:color w:val="auto"/>
                <w:sz w:val="24"/>
              </w:rPr>
              <w:t>序号</w:t>
            </w:r>
          </w:p>
        </w:tc>
        <w:tc>
          <w:tcPr>
            <w:tcW w:w="2835" w:type="dxa"/>
          </w:tcPr>
          <w:p w14:paraId="02439CB5">
            <w:pPr>
              <w:spacing w:line="300" w:lineRule="auto"/>
              <w:jc w:val="center"/>
              <w:rPr>
                <w:rFonts w:ascii="宋体"/>
                <w:color w:val="auto"/>
                <w:sz w:val="24"/>
              </w:rPr>
            </w:pPr>
            <w:r>
              <w:rPr>
                <w:rFonts w:hint="eastAsia" w:ascii="宋体" w:hAnsi="宋体"/>
                <w:color w:val="auto"/>
                <w:sz w:val="24"/>
              </w:rPr>
              <w:t>专利</w:t>
            </w:r>
          </w:p>
        </w:tc>
        <w:tc>
          <w:tcPr>
            <w:tcW w:w="1417" w:type="dxa"/>
          </w:tcPr>
          <w:p w14:paraId="5C8C77C5">
            <w:pPr>
              <w:spacing w:line="300" w:lineRule="auto"/>
              <w:jc w:val="center"/>
              <w:rPr>
                <w:rFonts w:ascii="宋体"/>
                <w:color w:val="auto"/>
                <w:sz w:val="24"/>
              </w:rPr>
            </w:pPr>
            <w:r>
              <w:rPr>
                <w:rFonts w:hint="eastAsia" w:ascii="宋体" w:hAnsi="宋体"/>
                <w:color w:val="auto"/>
                <w:sz w:val="24"/>
              </w:rPr>
              <w:t>得分</w:t>
            </w:r>
          </w:p>
        </w:tc>
        <w:tc>
          <w:tcPr>
            <w:tcW w:w="3686" w:type="dxa"/>
          </w:tcPr>
          <w:p w14:paraId="653CB680">
            <w:pPr>
              <w:spacing w:line="300" w:lineRule="auto"/>
              <w:jc w:val="center"/>
              <w:rPr>
                <w:rFonts w:ascii="宋体"/>
                <w:color w:val="auto"/>
                <w:sz w:val="24"/>
              </w:rPr>
            </w:pPr>
            <w:r>
              <w:rPr>
                <w:rFonts w:hint="eastAsia" w:ascii="宋体" w:hAnsi="宋体"/>
                <w:color w:val="auto"/>
                <w:sz w:val="24"/>
              </w:rPr>
              <w:t>备注</w:t>
            </w:r>
          </w:p>
        </w:tc>
      </w:tr>
      <w:tr w14:paraId="3824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52" w:type="dxa"/>
          </w:tcPr>
          <w:p w14:paraId="63B71214">
            <w:pPr>
              <w:spacing w:line="300" w:lineRule="auto"/>
              <w:jc w:val="center"/>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w:t>
            </w:r>
          </w:p>
        </w:tc>
        <w:tc>
          <w:tcPr>
            <w:tcW w:w="2835" w:type="dxa"/>
          </w:tcPr>
          <w:p w14:paraId="7AD0FBDB">
            <w:pPr>
              <w:spacing w:line="300" w:lineRule="auto"/>
              <w:jc w:val="center"/>
              <w:rPr>
                <w:rFonts w:ascii="宋体"/>
                <w:color w:val="auto"/>
                <w:sz w:val="24"/>
              </w:rPr>
            </w:pPr>
            <w:r>
              <w:rPr>
                <w:rFonts w:hint="eastAsia" w:ascii="宋体" w:hAnsi="宋体"/>
                <w:color w:val="auto"/>
                <w:sz w:val="24"/>
              </w:rPr>
              <w:t>获发明专利</w:t>
            </w:r>
            <w:r>
              <w:rPr>
                <w:rFonts w:ascii="宋体" w:hAnsi="宋体"/>
                <w:color w:val="auto"/>
                <w:sz w:val="24"/>
              </w:rPr>
              <w:t>1</w:t>
            </w:r>
            <w:r>
              <w:rPr>
                <w:rFonts w:hint="eastAsia" w:ascii="宋体" w:hAnsi="宋体"/>
                <w:color w:val="auto"/>
                <w:sz w:val="24"/>
              </w:rPr>
              <w:t>项</w:t>
            </w:r>
          </w:p>
        </w:tc>
        <w:tc>
          <w:tcPr>
            <w:tcW w:w="1417" w:type="dxa"/>
          </w:tcPr>
          <w:p w14:paraId="60AA0F89">
            <w:pPr>
              <w:spacing w:line="300" w:lineRule="auto"/>
              <w:jc w:val="center"/>
              <w:rPr>
                <w:rFonts w:ascii="宋体"/>
                <w:color w:val="auto"/>
                <w:sz w:val="24"/>
              </w:rPr>
            </w:pPr>
            <w:r>
              <w:rPr>
                <w:rFonts w:hint="eastAsia" w:ascii="宋体" w:hAnsi="宋体"/>
                <w:color w:val="auto"/>
                <w:sz w:val="24"/>
              </w:rPr>
              <w:t>×</w:t>
            </w:r>
            <w:r>
              <w:rPr>
                <w:rFonts w:ascii="宋体" w:hAnsi="宋体"/>
                <w:color w:val="auto"/>
                <w:sz w:val="24"/>
              </w:rPr>
              <w:t>6</w:t>
            </w:r>
            <w:r>
              <w:rPr>
                <w:rFonts w:hint="eastAsia" w:ascii="宋体" w:hAnsi="宋体"/>
                <w:color w:val="auto"/>
                <w:sz w:val="24"/>
              </w:rPr>
              <w:t>分</w:t>
            </w:r>
          </w:p>
        </w:tc>
        <w:tc>
          <w:tcPr>
            <w:tcW w:w="3686" w:type="dxa"/>
            <w:vMerge w:val="restart"/>
          </w:tcPr>
          <w:p w14:paraId="7039FC5B">
            <w:pPr>
              <w:spacing w:line="360" w:lineRule="auto"/>
              <w:jc w:val="center"/>
              <w:rPr>
                <w:rFonts w:ascii="宋体"/>
                <w:color w:val="auto"/>
                <w:sz w:val="24"/>
              </w:rPr>
            </w:pPr>
            <w:r>
              <w:rPr>
                <w:rFonts w:hint="eastAsia" w:ascii="宋体" w:hAnsi="宋体"/>
                <w:color w:val="auto"/>
                <w:sz w:val="24"/>
              </w:rPr>
              <w:t>以上均为第一署名人</w:t>
            </w:r>
            <w:r>
              <w:rPr>
                <w:rFonts w:ascii="宋体" w:hAnsi="宋体"/>
                <w:color w:val="auto"/>
                <w:sz w:val="24"/>
              </w:rPr>
              <w:t>(</w:t>
            </w:r>
            <w:r>
              <w:rPr>
                <w:rFonts w:hint="eastAsia" w:ascii="宋体" w:hAnsi="宋体"/>
                <w:color w:val="auto"/>
                <w:sz w:val="24"/>
              </w:rPr>
              <w:t>导师第一、学生第二署名的专利可算作学生为第一署名人</w:t>
            </w:r>
            <w:r>
              <w:rPr>
                <w:rFonts w:ascii="宋体" w:hAnsi="宋体"/>
                <w:color w:val="auto"/>
                <w:sz w:val="24"/>
              </w:rPr>
              <w:t>)</w:t>
            </w:r>
          </w:p>
        </w:tc>
      </w:tr>
      <w:tr w14:paraId="62710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52" w:type="dxa"/>
          </w:tcPr>
          <w:p w14:paraId="362AD560">
            <w:pPr>
              <w:spacing w:line="300" w:lineRule="auto"/>
              <w:jc w:val="center"/>
              <w:rPr>
                <w:rFonts w:asci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w:t>
            </w:r>
          </w:p>
        </w:tc>
        <w:tc>
          <w:tcPr>
            <w:tcW w:w="2835" w:type="dxa"/>
          </w:tcPr>
          <w:p w14:paraId="064F9E91">
            <w:pPr>
              <w:spacing w:line="300" w:lineRule="auto"/>
              <w:jc w:val="center"/>
              <w:rPr>
                <w:rFonts w:ascii="宋体"/>
                <w:color w:val="auto"/>
                <w:sz w:val="24"/>
              </w:rPr>
            </w:pPr>
            <w:r>
              <w:rPr>
                <w:rFonts w:hint="eastAsia" w:ascii="宋体" w:hAnsi="宋体"/>
                <w:color w:val="auto"/>
                <w:sz w:val="24"/>
              </w:rPr>
              <w:t>获实用新型</w:t>
            </w:r>
            <w:r>
              <w:rPr>
                <w:rFonts w:ascii="宋体" w:hAnsi="宋体"/>
                <w:color w:val="auto"/>
                <w:sz w:val="24"/>
              </w:rPr>
              <w:t>1</w:t>
            </w:r>
            <w:r>
              <w:rPr>
                <w:rFonts w:hint="eastAsia" w:ascii="宋体" w:hAnsi="宋体"/>
                <w:color w:val="auto"/>
                <w:sz w:val="24"/>
              </w:rPr>
              <w:t>项</w:t>
            </w:r>
          </w:p>
        </w:tc>
        <w:tc>
          <w:tcPr>
            <w:tcW w:w="1417" w:type="dxa"/>
          </w:tcPr>
          <w:p w14:paraId="7E6827C2">
            <w:pPr>
              <w:spacing w:line="300" w:lineRule="auto"/>
              <w:jc w:val="center"/>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分</w:t>
            </w:r>
          </w:p>
        </w:tc>
        <w:tc>
          <w:tcPr>
            <w:tcW w:w="3686" w:type="dxa"/>
            <w:vMerge w:val="continue"/>
          </w:tcPr>
          <w:p w14:paraId="6983938E">
            <w:pPr>
              <w:spacing w:line="300" w:lineRule="auto"/>
              <w:jc w:val="center"/>
              <w:rPr>
                <w:rFonts w:ascii="宋体"/>
                <w:color w:val="auto"/>
                <w:sz w:val="24"/>
              </w:rPr>
            </w:pPr>
          </w:p>
        </w:tc>
      </w:tr>
      <w:tr w14:paraId="402A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52" w:type="dxa"/>
          </w:tcPr>
          <w:p w14:paraId="3852FDC3">
            <w:pPr>
              <w:spacing w:line="300" w:lineRule="auto"/>
              <w:jc w:val="center"/>
              <w:rPr>
                <w:rFonts w:asci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w:t>
            </w:r>
          </w:p>
        </w:tc>
        <w:tc>
          <w:tcPr>
            <w:tcW w:w="2835" w:type="dxa"/>
          </w:tcPr>
          <w:p w14:paraId="15B4EA53">
            <w:pPr>
              <w:spacing w:line="300" w:lineRule="auto"/>
              <w:jc w:val="center"/>
              <w:rPr>
                <w:rFonts w:ascii="宋体"/>
                <w:color w:val="auto"/>
                <w:sz w:val="24"/>
              </w:rPr>
            </w:pPr>
            <w:r>
              <w:rPr>
                <w:rFonts w:hint="eastAsia" w:ascii="宋体" w:hAnsi="宋体"/>
                <w:color w:val="auto"/>
                <w:sz w:val="24"/>
              </w:rPr>
              <w:t>获外观专利</w:t>
            </w:r>
            <w:r>
              <w:rPr>
                <w:rFonts w:ascii="宋体" w:hAnsi="宋体"/>
                <w:color w:val="auto"/>
                <w:sz w:val="24"/>
              </w:rPr>
              <w:t>1</w:t>
            </w:r>
            <w:r>
              <w:rPr>
                <w:rFonts w:hint="eastAsia" w:ascii="宋体" w:hAnsi="宋体"/>
                <w:color w:val="auto"/>
                <w:sz w:val="24"/>
              </w:rPr>
              <w:t>项</w:t>
            </w:r>
          </w:p>
        </w:tc>
        <w:tc>
          <w:tcPr>
            <w:tcW w:w="1417" w:type="dxa"/>
          </w:tcPr>
          <w:p w14:paraId="0D3FF241">
            <w:pPr>
              <w:spacing w:line="300" w:lineRule="auto"/>
              <w:jc w:val="center"/>
              <w:rPr>
                <w:rFonts w:ascii="宋体"/>
                <w:color w:val="auto"/>
                <w:sz w:val="24"/>
              </w:rPr>
            </w:pPr>
            <w:r>
              <w:rPr>
                <w:rFonts w:hint="eastAsia" w:ascii="宋体" w:hAnsi="宋体"/>
                <w:color w:val="auto"/>
                <w:sz w:val="24"/>
              </w:rPr>
              <w:t>×</w:t>
            </w:r>
            <w:r>
              <w:rPr>
                <w:rFonts w:ascii="宋体" w:hAnsi="宋体"/>
                <w:color w:val="auto"/>
                <w:sz w:val="24"/>
              </w:rPr>
              <w:t>0.3</w:t>
            </w:r>
            <w:r>
              <w:rPr>
                <w:rFonts w:hint="eastAsia" w:ascii="宋体" w:hAnsi="宋体"/>
                <w:color w:val="auto"/>
                <w:sz w:val="24"/>
              </w:rPr>
              <w:t>分</w:t>
            </w:r>
          </w:p>
        </w:tc>
        <w:tc>
          <w:tcPr>
            <w:tcW w:w="3686" w:type="dxa"/>
            <w:vMerge w:val="continue"/>
          </w:tcPr>
          <w:p w14:paraId="61DD3E28">
            <w:pPr>
              <w:spacing w:line="300" w:lineRule="auto"/>
              <w:jc w:val="center"/>
              <w:rPr>
                <w:rFonts w:ascii="宋体"/>
                <w:color w:val="auto"/>
                <w:sz w:val="24"/>
              </w:rPr>
            </w:pPr>
          </w:p>
        </w:tc>
      </w:tr>
    </w:tbl>
    <w:p w14:paraId="6BE844F5">
      <w:pPr>
        <w:spacing w:line="360" w:lineRule="auto"/>
        <w:rPr>
          <w:rFonts w:ascii="宋体"/>
          <w:color w:val="auto"/>
          <w:sz w:val="24"/>
        </w:rPr>
      </w:pPr>
      <w:r>
        <w:rPr>
          <w:rFonts w:hint="eastAsia" w:ascii="宋体"/>
          <w:color w:val="auto"/>
          <w:sz w:val="24"/>
        </w:rPr>
        <w:t>备注：</w:t>
      </w:r>
    </w:p>
    <w:p w14:paraId="24BD8B60">
      <w:pPr>
        <w:pStyle w:val="9"/>
        <w:spacing w:line="360" w:lineRule="auto"/>
        <w:ind w:firstLine="0" w:firstLineChars="0"/>
        <w:rPr>
          <w:color w:val="auto"/>
          <w:sz w:val="24"/>
        </w:rPr>
      </w:pPr>
      <w:r>
        <w:rPr>
          <w:rFonts w:hint="eastAsia" w:ascii="宋体" w:hAnsi="宋体"/>
          <w:color w:val="auto"/>
          <w:sz w:val="24"/>
        </w:rPr>
        <w:t>1</w:t>
      </w:r>
      <w:r>
        <w:rPr>
          <w:rFonts w:ascii="宋体" w:hAnsi="宋体"/>
          <w:color w:val="auto"/>
          <w:sz w:val="24"/>
        </w:rPr>
        <w:t>、</w:t>
      </w:r>
      <w:r>
        <w:rPr>
          <w:rFonts w:hint="eastAsia" w:ascii="宋体" w:hAnsi="宋体"/>
          <w:color w:val="auto"/>
          <w:sz w:val="24"/>
        </w:rPr>
        <w:t>博</w:t>
      </w:r>
      <w:r>
        <w:rPr>
          <w:rFonts w:hint="eastAsia"/>
          <w:color w:val="auto"/>
          <w:sz w:val="24"/>
        </w:rPr>
        <w:t>士生获奖必须为教育部、省政府、省社科联、中国文联下属各协会的奖项，其它奖项不计分。</w:t>
      </w:r>
    </w:p>
    <w:p w14:paraId="766884C9">
      <w:pPr>
        <w:spacing w:line="360" w:lineRule="auto"/>
        <w:rPr>
          <w:rFonts w:ascii="宋体" w:hAnsi="宋体"/>
          <w:color w:val="auto"/>
          <w:sz w:val="24"/>
        </w:rPr>
      </w:pPr>
      <w:r>
        <w:rPr>
          <w:rFonts w:hint="eastAsia" w:ascii="宋体" w:hAnsi="宋体"/>
          <w:color w:val="auto"/>
          <w:sz w:val="24"/>
        </w:rPr>
        <w:t>2</w:t>
      </w:r>
      <w:r>
        <w:rPr>
          <w:rFonts w:ascii="宋体" w:hAnsi="宋体"/>
          <w:color w:val="auto"/>
          <w:sz w:val="24"/>
        </w:rPr>
        <w:t>、</w:t>
      </w:r>
      <w:r>
        <w:rPr>
          <w:rFonts w:hint="eastAsia" w:ascii="宋体" w:hAnsi="宋体"/>
          <w:color w:val="auto"/>
          <w:sz w:val="24"/>
        </w:rPr>
        <w:t>东</w:t>
      </w:r>
      <w:r>
        <w:rPr>
          <w:rFonts w:hint="eastAsia"/>
          <w:color w:val="auto"/>
          <w:sz w:val="24"/>
        </w:rPr>
        <w:t>南大学必须为以上所有成果署名的第一单位。</w:t>
      </w:r>
    </w:p>
    <w:p w14:paraId="4C98F0B0">
      <w:pPr>
        <w:spacing w:line="360" w:lineRule="auto"/>
        <w:rPr>
          <w:rFonts w:ascii="宋体"/>
          <w:color w:val="auto"/>
          <w:sz w:val="24"/>
        </w:rPr>
      </w:pPr>
      <w:r>
        <w:rPr>
          <w:rFonts w:hint="eastAsia" w:ascii="宋体" w:hAnsi="宋体"/>
          <w:color w:val="auto"/>
          <w:sz w:val="24"/>
        </w:rPr>
        <w:t>3、已在所学领域第一作者已公开发表高水平论文的，须提供学术论文所在期刊的原件及其它成果证明</w:t>
      </w:r>
      <w:bookmarkStart w:id="0" w:name="_GoBack"/>
      <w:bookmarkEnd w:id="0"/>
      <w:r>
        <w:rPr>
          <w:rFonts w:hint="eastAsia" w:ascii="宋体" w:hAnsi="宋体"/>
          <w:color w:val="auto"/>
          <w:sz w:val="24"/>
        </w:rPr>
        <w:t>。</w:t>
      </w:r>
      <w:r>
        <w:rPr>
          <w:rFonts w:hint="eastAsia" w:ascii="宋体"/>
          <w:color w:val="auto"/>
          <w:sz w:val="24"/>
        </w:rPr>
        <w:t>获授权发明专利或省部级（含）及以上科技奖励者，须提供证书原件。其他方面的优异表现或突出奖励情况，须为校级以上奖项并请提供证书原件。</w:t>
      </w:r>
    </w:p>
    <w:p w14:paraId="656E0178">
      <w:pPr>
        <w:spacing w:line="360" w:lineRule="auto"/>
        <w:rPr>
          <w:rFonts w:ascii="Calibri" w:hAnsi="Calibri" w:eastAsia="仿宋_GB2312"/>
          <w:color w:val="auto"/>
          <w:sz w:val="28"/>
          <w:szCs w:val="28"/>
        </w:rPr>
      </w:pPr>
      <w:r>
        <w:rPr>
          <w:rFonts w:hint="eastAsia" w:ascii="仿宋_GB2312" w:eastAsia="仿宋_GB2312"/>
          <w:b/>
          <w:color w:val="auto"/>
          <w:sz w:val="32"/>
        </w:rPr>
        <w:t>三、第一</w:t>
      </w:r>
      <w:r>
        <w:rPr>
          <w:rFonts w:ascii="仿宋_GB2312" w:eastAsia="仿宋_GB2312"/>
          <w:b/>
          <w:color w:val="auto"/>
          <w:sz w:val="32"/>
        </w:rPr>
        <w:t>学年</w:t>
      </w:r>
      <w:r>
        <w:rPr>
          <w:rFonts w:hint="eastAsia" w:ascii="仿宋_GB2312" w:eastAsia="仿宋_GB2312"/>
          <w:b/>
          <w:color w:val="auto"/>
          <w:sz w:val="32"/>
        </w:rPr>
        <w:t>规格化</w:t>
      </w:r>
      <w:r>
        <w:rPr>
          <w:rFonts w:ascii="仿宋_GB2312" w:eastAsia="仿宋_GB2312"/>
          <w:b/>
          <w:color w:val="auto"/>
          <w:sz w:val="32"/>
        </w:rPr>
        <w:t>成绩</w:t>
      </w:r>
      <w:r>
        <w:rPr>
          <w:rFonts w:hint="eastAsia" w:ascii="仿宋_GB2312" w:eastAsia="仿宋_GB2312"/>
          <w:b/>
          <w:color w:val="auto"/>
          <w:sz w:val="32"/>
        </w:rPr>
        <w:t>得分</w:t>
      </w:r>
    </w:p>
    <w:p w14:paraId="61FF5739">
      <w:pPr>
        <w:spacing w:line="360" w:lineRule="auto"/>
        <w:rPr>
          <w:rFonts w:ascii="宋体"/>
          <w:color w:val="auto"/>
          <w:sz w:val="24"/>
        </w:rPr>
      </w:pPr>
      <w:r>
        <w:rPr>
          <w:rFonts w:hint="eastAsia" w:ascii="仿宋_GB2312" w:eastAsia="仿宋_GB2312"/>
          <w:b/>
          <w:color w:val="auto"/>
          <w:sz w:val="32"/>
          <w:lang w:val="en-US" w:eastAsia="zh-CN"/>
        </w:rPr>
        <w:t>四</w:t>
      </w:r>
      <w:r>
        <w:rPr>
          <w:rFonts w:ascii="仿宋_GB2312" w:eastAsia="仿宋_GB2312"/>
          <w:b/>
          <w:color w:val="auto"/>
          <w:sz w:val="32"/>
        </w:rPr>
        <w:t>、</w:t>
      </w:r>
      <w:r>
        <w:rPr>
          <w:rFonts w:hint="eastAsia" w:ascii="仿宋_GB2312" w:eastAsia="仿宋_GB2312"/>
          <w:b/>
          <w:color w:val="auto"/>
          <w:sz w:val="32"/>
        </w:rPr>
        <w:t>荣誉获奖</w:t>
      </w:r>
      <w:r>
        <w:rPr>
          <w:rFonts w:ascii="仿宋_GB2312" w:eastAsia="仿宋_GB2312"/>
          <w:b/>
          <w:color w:val="auto"/>
          <w:sz w:val="32"/>
        </w:rPr>
        <w:t>情况</w:t>
      </w:r>
      <w:r>
        <w:rPr>
          <w:rFonts w:hint="eastAsia" w:ascii="仿宋_GB2312" w:eastAsia="仿宋_GB2312"/>
          <w:b/>
          <w:color w:val="auto"/>
          <w:sz w:val="32"/>
        </w:rPr>
        <w:t>计分</w:t>
      </w:r>
    </w:p>
    <w:tbl>
      <w:tblPr>
        <w:tblStyle w:val="6"/>
        <w:tblW w:w="879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6289"/>
        <w:gridCol w:w="992"/>
        <w:gridCol w:w="709"/>
      </w:tblGrid>
      <w:tr w14:paraId="1C03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00" w:type="dxa"/>
          </w:tcPr>
          <w:p w14:paraId="5F787F95">
            <w:pPr>
              <w:spacing w:line="300" w:lineRule="auto"/>
              <w:jc w:val="center"/>
              <w:rPr>
                <w:rFonts w:ascii="宋体" w:hAnsi="宋体"/>
                <w:color w:val="auto"/>
                <w:sz w:val="24"/>
              </w:rPr>
            </w:pPr>
            <w:r>
              <w:rPr>
                <w:rFonts w:hint="eastAsia" w:ascii="宋体" w:hAnsi="宋体"/>
                <w:color w:val="auto"/>
                <w:sz w:val="24"/>
              </w:rPr>
              <w:t>序号</w:t>
            </w:r>
          </w:p>
        </w:tc>
        <w:tc>
          <w:tcPr>
            <w:tcW w:w="6289" w:type="dxa"/>
          </w:tcPr>
          <w:p w14:paraId="02A56820">
            <w:pPr>
              <w:spacing w:line="300" w:lineRule="auto"/>
              <w:jc w:val="center"/>
              <w:rPr>
                <w:rFonts w:ascii="宋体" w:hAnsi="宋体"/>
                <w:color w:val="auto"/>
                <w:sz w:val="24"/>
              </w:rPr>
            </w:pPr>
            <w:r>
              <w:rPr>
                <w:rFonts w:hint="eastAsia" w:ascii="宋体" w:hAnsi="宋体"/>
                <w:color w:val="auto"/>
                <w:sz w:val="24"/>
              </w:rPr>
              <w:t>获奖情况</w:t>
            </w:r>
          </w:p>
        </w:tc>
        <w:tc>
          <w:tcPr>
            <w:tcW w:w="992" w:type="dxa"/>
          </w:tcPr>
          <w:p w14:paraId="2C8390ED">
            <w:pPr>
              <w:spacing w:line="300" w:lineRule="auto"/>
              <w:jc w:val="center"/>
              <w:rPr>
                <w:rFonts w:ascii="宋体" w:hAnsi="宋体"/>
                <w:color w:val="auto"/>
                <w:sz w:val="24"/>
              </w:rPr>
            </w:pPr>
            <w:r>
              <w:rPr>
                <w:rFonts w:hint="eastAsia" w:ascii="宋体" w:hAnsi="宋体"/>
                <w:color w:val="auto"/>
                <w:sz w:val="24"/>
              </w:rPr>
              <w:t>得分</w:t>
            </w:r>
          </w:p>
        </w:tc>
        <w:tc>
          <w:tcPr>
            <w:tcW w:w="709" w:type="dxa"/>
          </w:tcPr>
          <w:p w14:paraId="0E727563">
            <w:pPr>
              <w:spacing w:line="300" w:lineRule="auto"/>
              <w:jc w:val="center"/>
              <w:rPr>
                <w:rFonts w:ascii="宋体" w:hAnsi="宋体"/>
                <w:color w:val="auto"/>
                <w:sz w:val="24"/>
              </w:rPr>
            </w:pPr>
            <w:r>
              <w:rPr>
                <w:rFonts w:hint="eastAsia" w:ascii="宋体" w:hAnsi="宋体"/>
                <w:color w:val="auto"/>
                <w:sz w:val="24"/>
              </w:rPr>
              <w:t>备注</w:t>
            </w:r>
          </w:p>
        </w:tc>
      </w:tr>
      <w:tr w14:paraId="0D08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00" w:type="dxa"/>
          </w:tcPr>
          <w:p w14:paraId="208F7B63">
            <w:pPr>
              <w:spacing w:line="300" w:lineRule="auto"/>
              <w:jc w:val="center"/>
              <w:rPr>
                <w:rFonts w:ascii="宋体" w:hAnsi="宋体"/>
                <w:color w:val="auto"/>
                <w:sz w:val="24"/>
              </w:rPr>
            </w:pPr>
            <w:r>
              <w:rPr>
                <w:rFonts w:hint="eastAsia" w:ascii="宋体" w:hAnsi="宋体"/>
                <w:color w:val="auto"/>
                <w:sz w:val="24"/>
              </w:rPr>
              <w:t>1</w:t>
            </w:r>
          </w:p>
        </w:tc>
        <w:tc>
          <w:tcPr>
            <w:tcW w:w="6289" w:type="dxa"/>
          </w:tcPr>
          <w:p w14:paraId="6DC55C8F">
            <w:pPr>
              <w:spacing w:line="300" w:lineRule="auto"/>
              <w:jc w:val="center"/>
              <w:rPr>
                <w:rFonts w:ascii="宋体" w:hAnsi="宋体"/>
                <w:color w:val="auto"/>
                <w:sz w:val="24"/>
              </w:rPr>
            </w:pPr>
            <w:r>
              <w:rPr>
                <w:rFonts w:hint="eastAsia"/>
                <w:color w:val="auto"/>
                <w:sz w:val="24"/>
              </w:rPr>
              <w:t>中国青年五四奖章、全国十大杰出青年等全国性荣誉称号</w:t>
            </w:r>
          </w:p>
        </w:tc>
        <w:tc>
          <w:tcPr>
            <w:tcW w:w="992" w:type="dxa"/>
          </w:tcPr>
          <w:p w14:paraId="10D35F4E">
            <w:pPr>
              <w:spacing w:line="300" w:lineRule="auto"/>
              <w:rPr>
                <w:rFonts w:ascii="宋体" w:hAnsi="宋体"/>
                <w:color w:val="auto"/>
                <w:sz w:val="24"/>
              </w:rPr>
            </w:pPr>
            <w:r>
              <w:rPr>
                <w:rFonts w:ascii="宋体" w:hAnsi="宋体"/>
                <w:color w:val="auto"/>
                <w:sz w:val="24"/>
              </w:rPr>
              <w:t>30</w:t>
            </w:r>
            <w:r>
              <w:rPr>
                <w:rFonts w:hint="eastAsia" w:ascii="宋体" w:hAnsi="宋体"/>
                <w:color w:val="auto"/>
                <w:sz w:val="24"/>
              </w:rPr>
              <w:t>分</w:t>
            </w:r>
          </w:p>
        </w:tc>
        <w:tc>
          <w:tcPr>
            <w:tcW w:w="709" w:type="dxa"/>
          </w:tcPr>
          <w:p w14:paraId="6A0634DB">
            <w:pPr>
              <w:spacing w:line="300" w:lineRule="auto"/>
              <w:jc w:val="center"/>
              <w:rPr>
                <w:rFonts w:ascii="宋体" w:hAnsi="宋体"/>
                <w:color w:val="auto"/>
                <w:sz w:val="24"/>
              </w:rPr>
            </w:pPr>
          </w:p>
        </w:tc>
      </w:tr>
      <w:tr w14:paraId="4DC2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00" w:type="dxa"/>
          </w:tcPr>
          <w:p w14:paraId="323651C8">
            <w:pPr>
              <w:spacing w:line="300" w:lineRule="auto"/>
              <w:jc w:val="center"/>
              <w:rPr>
                <w:rFonts w:ascii="宋体" w:hAnsi="宋体"/>
                <w:color w:val="auto"/>
                <w:sz w:val="24"/>
              </w:rPr>
            </w:pPr>
            <w:r>
              <w:rPr>
                <w:rFonts w:hint="eastAsia" w:ascii="宋体" w:hAnsi="宋体"/>
                <w:color w:val="auto"/>
                <w:sz w:val="24"/>
              </w:rPr>
              <w:t>2</w:t>
            </w:r>
          </w:p>
        </w:tc>
        <w:tc>
          <w:tcPr>
            <w:tcW w:w="6289" w:type="dxa"/>
          </w:tcPr>
          <w:p w14:paraId="3B5C1FE3">
            <w:pPr>
              <w:spacing w:line="300" w:lineRule="auto"/>
              <w:jc w:val="center"/>
              <w:rPr>
                <w:rFonts w:ascii="宋体" w:hAnsi="宋体"/>
                <w:color w:val="auto"/>
                <w:sz w:val="24"/>
              </w:rPr>
            </w:pPr>
            <w:r>
              <w:rPr>
                <w:rFonts w:hint="eastAsia" w:ascii="宋体" w:hAnsi="宋体"/>
                <w:color w:val="auto"/>
                <w:sz w:val="24"/>
              </w:rPr>
              <w:t>省级先进个人</w:t>
            </w:r>
          </w:p>
        </w:tc>
        <w:tc>
          <w:tcPr>
            <w:tcW w:w="992" w:type="dxa"/>
          </w:tcPr>
          <w:p w14:paraId="123840CA">
            <w:pPr>
              <w:spacing w:line="300" w:lineRule="auto"/>
              <w:rPr>
                <w:rFonts w:ascii="宋体" w:hAnsi="宋体"/>
                <w:color w:val="auto"/>
                <w:sz w:val="24"/>
              </w:rPr>
            </w:pPr>
            <w:r>
              <w:rPr>
                <w:rFonts w:ascii="宋体" w:hAnsi="宋体"/>
                <w:color w:val="auto"/>
                <w:sz w:val="24"/>
              </w:rPr>
              <w:t>20</w:t>
            </w:r>
            <w:r>
              <w:rPr>
                <w:rFonts w:hint="eastAsia" w:ascii="宋体" w:hAnsi="宋体"/>
                <w:color w:val="auto"/>
                <w:sz w:val="24"/>
              </w:rPr>
              <w:t>分</w:t>
            </w:r>
          </w:p>
        </w:tc>
        <w:tc>
          <w:tcPr>
            <w:tcW w:w="709" w:type="dxa"/>
          </w:tcPr>
          <w:p w14:paraId="56732B89">
            <w:pPr>
              <w:spacing w:line="300" w:lineRule="auto"/>
              <w:jc w:val="center"/>
              <w:rPr>
                <w:rFonts w:ascii="宋体" w:hAnsi="宋体"/>
                <w:color w:val="auto"/>
                <w:sz w:val="24"/>
              </w:rPr>
            </w:pPr>
          </w:p>
        </w:tc>
      </w:tr>
      <w:tr w14:paraId="1EB1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00" w:type="dxa"/>
          </w:tcPr>
          <w:p w14:paraId="352B38D1">
            <w:pPr>
              <w:spacing w:line="300" w:lineRule="auto"/>
              <w:jc w:val="center"/>
              <w:rPr>
                <w:rFonts w:hint="eastAsia" w:ascii="宋体" w:hAnsi="宋体" w:eastAsia="宋体"/>
                <w:color w:val="auto"/>
                <w:sz w:val="24"/>
                <w:lang w:val="en-US" w:eastAsia="zh-CN"/>
              </w:rPr>
            </w:pPr>
            <w:r>
              <w:rPr>
                <w:rFonts w:hint="eastAsia" w:ascii="宋体" w:hAnsi="宋体"/>
                <w:color w:val="auto"/>
                <w:sz w:val="24"/>
                <w:lang w:val="en-US" w:eastAsia="zh-CN"/>
              </w:rPr>
              <w:t>3</w:t>
            </w:r>
          </w:p>
        </w:tc>
        <w:tc>
          <w:tcPr>
            <w:tcW w:w="6289" w:type="dxa"/>
          </w:tcPr>
          <w:p w14:paraId="479AD69C">
            <w:pPr>
              <w:spacing w:line="300" w:lineRule="auto"/>
              <w:jc w:val="center"/>
              <w:rPr>
                <w:rFonts w:ascii="宋体" w:hAnsi="宋体"/>
                <w:color w:val="auto"/>
                <w:sz w:val="24"/>
              </w:rPr>
            </w:pPr>
            <w:r>
              <w:rPr>
                <w:rFonts w:hint="eastAsia" w:ascii="宋体" w:hAnsi="宋体"/>
                <w:color w:val="auto"/>
                <w:sz w:val="24"/>
              </w:rPr>
              <w:t>省级</w:t>
            </w:r>
            <w:r>
              <w:rPr>
                <w:rFonts w:ascii="宋体" w:hAnsi="宋体"/>
                <w:color w:val="auto"/>
                <w:sz w:val="24"/>
              </w:rPr>
              <w:t>先进个人（</w:t>
            </w:r>
            <w:r>
              <w:rPr>
                <w:rFonts w:hint="eastAsia" w:ascii="宋体" w:hAnsi="宋体"/>
                <w:color w:val="auto"/>
                <w:sz w:val="24"/>
              </w:rPr>
              <w:t>社会</w:t>
            </w:r>
            <w:r>
              <w:rPr>
                <w:rFonts w:ascii="宋体" w:hAnsi="宋体"/>
                <w:color w:val="auto"/>
                <w:sz w:val="24"/>
              </w:rPr>
              <w:t>实践</w:t>
            </w:r>
            <w:r>
              <w:rPr>
                <w:rFonts w:hint="eastAsia" w:ascii="宋体" w:hAnsi="宋体"/>
                <w:color w:val="auto"/>
                <w:sz w:val="24"/>
              </w:rPr>
              <w:t>类</w:t>
            </w:r>
            <w:r>
              <w:rPr>
                <w:rFonts w:ascii="宋体" w:hAnsi="宋体"/>
                <w:color w:val="auto"/>
                <w:sz w:val="24"/>
              </w:rPr>
              <w:t>、志愿服务类）</w:t>
            </w:r>
          </w:p>
        </w:tc>
        <w:tc>
          <w:tcPr>
            <w:tcW w:w="992" w:type="dxa"/>
          </w:tcPr>
          <w:p w14:paraId="3D4E9918">
            <w:pPr>
              <w:spacing w:line="300" w:lineRule="auto"/>
              <w:rPr>
                <w:rFonts w:ascii="宋体" w:hAnsi="宋体"/>
                <w:color w:val="auto"/>
                <w:sz w:val="24"/>
              </w:rPr>
            </w:pPr>
            <w:r>
              <w:rPr>
                <w:rFonts w:ascii="宋体" w:hAnsi="宋体"/>
                <w:color w:val="auto"/>
                <w:sz w:val="24"/>
              </w:rPr>
              <w:t>15</w:t>
            </w:r>
            <w:r>
              <w:rPr>
                <w:rFonts w:hint="eastAsia" w:ascii="宋体" w:hAnsi="宋体"/>
                <w:color w:val="auto"/>
                <w:sz w:val="24"/>
              </w:rPr>
              <w:t>分</w:t>
            </w:r>
          </w:p>
        </w:tc>
        <w:tc>
          <w:tcPr>
            <w:tcW w:w="709" w:type="dxa"/>
          </w:tcPr>
          <w:p w14:paraId="3E5ACE43">
            <w:pPr>
              <w:spacing w:line="300" w:lineRule="auto"/>
              <w:jc w:val="center"/>
              <w:rPr>
                <w:rFonts w:ascii="宋体" w:hAnsi="宋体"/>
                <w:color w:val="auto"/>
                <w:sz w:val="24"/>
              </w:rPr>
            </w:pPr>
          </w:p>
        </w:tc>
      </w:tr>
      <w:tr w14:paraId="287FB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00" w:type="dxa"/>
          </w:tcPr>
          <w:p w14:paraId="7CA2CB13">
            <w:pPr>
              <w:spacing w:line="300" w:lineRule="auto"/>
              <w:jc w:val="center"/>
              <w:rPr>
                <w:rFonts w:hint="eastAsia" w:ascii="宋体" w:hAnsi="宋体" w:eastAsia="宋体"/>
                <w:color w:val="auto"/>
                <w:sz w:val="24"/>
                <w:lang w:eastAsia="zh-CN"/>
              </w:rPr>
            </w:pPr>
            <w:r>
              <w:rPr>
                <w:rFonts w:hint="eastAsia" w:ascii="宋体" w:hAnsi="宋体"/>
                <w:color w:val="auto"/>
                <w:sz w:val="24"/>
                <w:lang w:val="en-US" w:eastAsia="zh-CN"/>
              </w:rPr>
              <w:t>4</w:t>
            </w:r>
          </w:p>
        </w:tc>
        <w:tc>
          <w:tcPr>
            <w:tcW w:w="6289" w:type="dxa"/>
          </w:tcPr>
          <w:p w14:paraId="395D43F5">
            <w:pPr>
              <w:spacing w:line="300" w:lineRule="auto"/>
              <w:jc w:val="center"/>
              <w:rPr>
                <w:rFonts w:hint="default" w:ascii="宋体" w:hAnsi="宋体" w:eastAsia="宋体"/>
                <w:color w:val="auto"/>
                <w:sz w:val="24"/>
                <w:lang w:val="en-US" w:eastAsia="zh-CN"/>
              </w:rPr>
            </w:pPr>
            <w:r>
              <w:rPr>
                <w:rFonts w:hint="eastAsia" w:ascii="宋体" w:hAnsi="宋体"/>
                <w:color w:val="auto"/>
                <w:sz w:val="24"/>
              </w:rPr>
              <w:t>正青年、东大好青年</w:t>
            </w:r>
            <w:r>
              <w:rPr>
                <w:rFonts w:hint="eastAsia" w:ascii="宋体" w:hAnsi="宋体"/>
                <w:color w:val="auto"/>
                <w:sz w:val="24"/>
                <w:lang w:eastAsia="zh-CN"/>
              </w:rPr>
              <w:t>、</w:t>
            </w:r>
            <w:r>
              <w:rPr>
                <w:rFonts w:hint="eastAsia" w:ascii="宋体" w:hAnsi="宋体"/>
                <w:color w:val="auto"/>
                <w:sz w:val="24"/>
                <w:lang w:val="en-US" w:eastAsia="zh-CN"/>
              </w:rPr>
              <w:t xml:space="preserve">校五四奖章 </w:t>
            </w:r>
          </w:p>
        </w:tc>
        <w:tc>
          <w:tcPr>
            <w:tcW w:w="992" w:type="dxa"/>
          </w:tcPr>
          <w:p w14:paraId="187456B6">
            <w:pPr>
              <w:spacing w:line="300" w:lineRule="auto"/>
              <w:rPr>
                <w:rFonts w:ascii="宋体" w:hAnsi="宋体"/>
                <w:color w:val="auto"/>
                <w:sz w:val="24"/>
              </w:rPr>
            </w:pPr>
            <w:r>
              <w:rPr>
                <w:rFonts w:ascii="宋体" w:hAnsi="宋体"/>
                <w:color w:val="auto"/>
                <w:sz w:val="24"/>
              </w:rPr>
              <w:t>12</w:t>
            </w:r>
            <w:r>
              <w:rPr>
                <w:rFonts w:hint="eastAsia" w:ascii="宋体" w:hAnsi="宋体"/>
                <w:color w:val="auto"/>
                <w:sz w:val="24"/>
              </w:rPr>
              <w:t>分</w:t>
            </w:r>
          </w:p>
        </w:tc>
        <w:tc>
          <w:tcPr>
            <w:tcW w:w="709" w:type="dxa"/>
          </w:tcPr>
          <w:p w14:paraId="2E649693">
            <w:pPr>
              <w:spacing w:line="300" w:lineRule="auto"/>
              <w:jc w:val="center"/>
              <w:rPr>
                <w:rFonts w:ascii="宋体" w:hAnsi="宋体"/>
                <w:color w:val="auto"/>
                <w:sz w:val="24"/>
              </w:rPr>
            </w:pPr>
          </w:p>
        </w:tc>
      </w:tr>
      <w:tr w14:paraId="66D3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00" w:type="dxa"/>
          </w:tcPr>
          <w:p w14:paraId="22B88F0F">
            <w:pPr>
              <w:spacing w:line="300" w:lineRule="auto"/>
              <w:jc w:val="center"/>
              <w:rPr>
                <w:rFonts w:hint="default" w:ascii="宋体" w:hAnsi="宋体"/>
                <w:color w:val="auto"/>
                <w:sz w:val="24"/>
                <w:lang w:val="en-US" w:eastAsia="zh-CN"/>
              </w:rPr>
            </w:pPr>
            <w:r>
              <w:rPr>
                <w:rFonts w:hint="eastAsia" w:ascii="宋体" w:hAnsi="宋体"/>
                <w:color w:val="auto"/>
                <w:sz w:val="24"/>
                <w:lang w:val="en-US" w:eastAsia="zh-CN"/>
              </w:rPr>
              <w:t>5</w:t>
            </w:r>
          </w:p>
        </w:tc>
        <w:tc>
          <w:tcPr>
            <w:tcW w:w="6289" w:type="dxa"/>
            <w:vAlign w:val="top"/>
          </w:tcPr>
          <w:p w14:paraId="0E46946F">
            <w:pPr>
              <w:tabs>
                <w:tab w:val="left" w:pos="1410"/>
              </w:tabs>
              <w:spacing w:line="300" w:lineRule="auto"/>
              <w:jc w:val="center"/>
              <w:rPr>
                <w:rFonts w:hint="default" w:ascii="宋体" w:hAnsi="宋体" w:eastAsia="宋体" w:cs="Times New Roman"/>
                <w:color w:val="auto"/>
                <w:kern w:val="2"/>
                <w:sz w:val="24"/>
                <w:szCs w:val="24"/>
                <w:lang w:val="en-US" w:eastAsia="zh-CN" w:bidi="ar-SA"/>
              </w:rPr>
            </w:pPr>
            <w:r>
              <w:rPr>
                <w:rFonts w:hint="eastAsia" w:ascii="宋体" w:hAnsi="宋体"/>
                <w:color w:val="auto"/>
                <w:sz w:val="24"/>
              </w:rPr>
              <w:t>校优秀研究生干部(含标兵)、校优秀团干、校级优秀党支部书记</w:t>
            </w:r>
            <w:r>
              <w:rPr>
                <w:rFonts w:hint="eastAsia" w:ascii="宋体" w:hAnsi="宋体"/>
                <w:color w:val="auto"/>
                <w:sz w:val="24"/>
                <w:lang w:eastAsia="zh-CN"/>
              </w:rPr>
              <w:t>、</w:t>
            </w:r>
            <w:r>
              <w:rPr>
                <w:rFonts w:hint="eastAsia" w:ascii="宋体" w:hAnsi="宋体"/>
                <w:color w:val="auto"/>
                <w:sz w:val="24"/>
                <w:lang w:val="en-US" w:eastAsia="zh-CN"/>
              </w:rPr>
              <w:t>校优秀党员标兵</w:t>
            </w:r>
          </w:p>
        </w:tc>
        <w:tc>
          <w:tcPr>
            <w:tcW w:w="992" w:type="dxa"/>
            <w:vAlign w:val="top"/>
          </w:tcPr>
          <w:p w14:paraId="7B3B4E80">
            <w:pPr>
              <w:spacing w:line="300" w:lineRule="auto"/>
              <w:rPr>
                <w:rFonts w:ascii="宋体" w:hAnsi="宋体" w:eastAsia="宋体" w:cs="Times New Roman"/>
                <w:color w:val="auto"/>
                <w:kern w:val="2"/>
                <w:sz w:val="24"/>
                <w:szCs w:val="24"/>
                <w:lang w:val="en-US" w:eastAsia="zh-CN" w:bidi="ar-SA"/>
              </w:rPr>
            </w:pPr>
            <w:r>
              <w:rPr>
                <w:rFonts w:ascii="宋体" w:hAnsi="宋体"/>
                <w:color w:val="auto"/>
                <w:sz w:val="24"/>
              </w:rPr>
              <w:t>10</w:t>
            </w:r>
            <w:r>
              <w:rPr>
                <w:rFonts w:hint="eastAsia" w:ascii="宋体" w:hAnsi="宋体"/>
                <w:color w:val="auto"/>
                <w:sz w:val="24"/>
              </w:rPr>
              <w:t>分</w:t>
            </w:r>
          </w:p>
        </w:tc>
        <w:tc>
          <w:tcPr>
            <w:tcW w:w="709" w:type="dxa"/>
          </w:tcPr>
          <w:p w14:paraId="2CD0564A">
            <w:pPr>
              <w:spacing w:line="300" w:lineRule="auto"/>
              <w:jc w:val="center"/>
              <w:rPr>
                <w:rFonts w:ascii="宋体" w:hAnsi="宋体"/>
                <w:color w:val="auto"/>
                <w:sz w:val="24"/>
              </w:rPr>
            </w:pPr>
          </w:p>
        </w:tc>
      </w:tr>
      <w:tr w14:paraId="420CB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00" w:type="dxa"/>
          </w:tcPr>
          <w:p w14:paraId="42AD9876">
            <w:pPr>
              <w:spacing w:line="300" w:lineRule="auto"/>
              <w:jc w:val="center"/>
              <w:rPr>
                <w:rFonts w:hint="default" w:ascii="宋体" w:hAnsi="宋体"/>
                <w:color w:val="auto"/>
                <w:sz w:val="24"/>
                <w:lang w:val="en-US" w:eastAsia="zh-CN"/>
              </w:rPr>
            </w:pPr>
            <w:r>
              <w:rPr>
                <w:rFonts w:hint="eastAsia" w:ascii="宋体" w:hAnsi="宋体"/>
                <w:color w:val="auto"/>
                <w:sz w:val="24"/>
                <w:lang w:val="en-US" w:eastAsia="zh-CN"/>
              </w:rPr>
              <w:t>6</w:t>
            </w:r>
          </w:p>
        </w:tc>
        <w:tc>
          <w:tcPr>
            <w:tcW w:w="6289" w:type="dxa"/>
            <w:vAlign w:val="top"/>
          </w:tcPr>
          <w:p w14:paraId="1D0F3E3D">
            <w:pPr>
              <w:spacing w:line="300" w:lineRule="auto"/>
              <w:jc w:val="center"/>
              <w:rPr>
                <w:rFonts w:hint="eastAsia" w:ascii="宋体" w:hAnsi="宋体" w:eastAsia="宋体" w:cs="Times New Roman"/>
                <w:color w:val="auto"/>
                <w:kern w:val="2"/>
                <w:sz w:val="24"/>
                <w:szCs w:val="24"/>
                <w:lang w:val="en-US" w:eastAsia="zh-CN" w:bidi="ar-SA"/>
              </w:rPr>
            </w:pPr>
            <w:r>
              <w:rPr>
                <w:rFonts w:hint="eastAsia" w:ascii="宋体" w:hAnsi="宋体"/>
                <w:color w:val="auto"/>
                <w:sz w:val="24"/>
              </w:rPr>
              <w:t>校三好生(含标兵)、校优秀党员、校优秀团员</w:t>
            </w:r>
          </w:p>
        </w:tc>
        <w:tc>
          <w:tcPr>
            <w:tcW w:w="992" w:type="dxa"/>
            <w:vAlign w:val="top"/>
          </w:tcPr>
          <w:p w14:paraId="37568B06">
            <w:pPr>
              <w:spacing w:line="300" w:lineRule="auto"/>
              <w:rPr>
                <w:rFonts w:ascii="宋体" w:hAnsi="宋体" w:eastAsia="宋体" w:cs="Times New Roman"/>
                <w:color w:val="auto"/>
                <w:kern w:val="2"/>
                <w:sz w:val="24"/>
                <w:szCs w:val="24"/>
                <w:lang w:val="en-US" w:eastAsia="zh-CN" w:bidi="ar-SA"/>
              </w:rPr>
            </w:pPr>
            <w:r>
              <w:rPr>
                <w:rFonts w:ascii="宋体" w:hAnsi="宋体"/>
                <w:color w:val="auto"/>
                <w:sz w:val="24"/>
              </w:rPr>
              <w:t>8</w:t>
            </w:r>
            <w:r>
              <w:rPr>
                <w:rFonts w:hint="eastAsia" w:ascii="宋体" w:hAnsi="宋体"/>
                <w:color w:val="auto"/>
                <w:sz w:val="24"/>
              </w:rPr>
              <w:t>分</w:t>
            </w:r>
          </w:p>
        </w:tc>
        <w:tc>
          <w:tcPr>
            <w:tcW w:w="709" w:type="dxa"/>
          </w:tcPr>
          <w:p w14:paraId="4B1857E8">
            <w:pPr>
              <w:spacing w:line="300" w:lineRule="auto"/>
              <w:jc w:val="center"/>
              <w:rPr>
                <w:rFonts w:ascii="宋体" w:hAnsi="宋体"/>
                <w:color w:val="auto"/>
                <w:sz w:val="24"/>
              </w:rPr>
            </w:pPr>
          </w:p>
        </w:tc>
      </w:tr>
      <w:tr w14:paraId="100E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00" w:type="dxa"/>
          </w:tcPr>
          <w:p w14:paraId="630B1521">
            <w:pPr>
              <w:spacing w:line="300" w:lineRule="auto"/>
              <w:jc w:val="center"/>
              <w:rPr>
                <w:rFonts w:hint="default" w:ascii="宋体" w:hAnsi="宋体" w:eastAsia="宋体"/>
                <w:color w:val="auto"/>
                <w:sz w:val="24"/>
                <w:lang w:val="en-US" w:eastAsia="zh-CN"/>
              </w:rPr>
            </w:pPr>
            <w:r>
              <w:rPr>
                <w:rFonts w:hint="eastAsia" w:ascii="宋体" w:hAnsi="宋体"/>
                <w:color w:val="auto"/>
                <w:sz w:val="24"/>
                <w:lang w:val="en-US" w:eastAsia="zh-CN"/>
              </w:rPr>
              <w:t>7</w:t>
            </w:r>
          </w:p>
        </w:tc>
        <w:tc>
          <w:tcPr>
            <w:tcW w:w="6289" w:type="dxa"/>
          </w:tcPr>
          <w:p w14:paraId="1D57785B">
            <w:pPr>
              <w:spacing w:line="300" w:lineRule="auto"/>
              <w:jc w:val="center"/>
              <w:rPr>
                <w:rFonts w:ascii="宋体" w:hAnsi="宋体"/>
                <w:color w:val="auto"/>
                <w:sz w:val="24"/>
              </w:rPr>
            </w:pPr>
            <w:r>
              <w:rPr>
                <w:rFonts w:hint="eastAsia" w:ascii="宋体" w:hAnsi="宋体"/>
                <w:color w:val="auto"/>
                <w:sz w:val="24"/>
              </w:rPr>
              <w:t>正青年入围、校级</w:t>
            </w:r>
            <w:r>
              <w:rPr>
                <w:rFonts w:ascii="宋体" w:hAnsi="宋体"/>
                <w:color w:val="auto"/>
                <w:sz w:val="24"/>
              </w:rPr>
              <w:t>优秀志愿者</w:t>
            </w:r>
            <w:r>
              <w:rPr>
                <w:rFonts w:hint="eastAsia" w:ascii="宋体" w:hAnsi="宋体"/>
                <w:color w:val="auto"/>
                <w:sz w:val="24"/>
              </w:rPr>
              <w:t>、</w:t>
            </w:r>
            <w:r>
              <w:rPr>
                <w:rFonts w:ascii="宋体" w:hAnsi="宋体"/>
                <w:color w:val="auto"/>
                <w:sz w:val="24"/>
              </w:rPr>
              <w:t>其他校级先进个人</w:t>
            </w:r>
          </w:p>
        </w:tc>
        <w:tc>
          <w:tcPr>
            <w:tcW w:w="992" w:type="dxa"/>
          </w:tcPr>
          <w:p w14:paraId="6C4528F7">
            <w:pPr>
              <w:spacing w:line="300" w:lineRule="auto"/>
              <w:rPr>
                <w:rFonts w:ascii="宋体" w:hAnsi="宋体"/>
                <w:color w:val="auto"/>
                <w:sz w:val="24"/>
              </w:rPr>
            </w:pPr>
            <w:r>
              <w:rPr>
                <w:rFonts w:ascii="宋体" w:hAnsi="宋体"/>
                <w:color w:val="auto"/>
                <w:sz w:val="24"/>
              </w:rPr>
              <w:t>6</w:t>
            </w:r>
            <w:r>
              <w:rPr>
                <w:rFonts w:hint="eastAsia" w:ascii="宋体" w:hAnsi="宋体"/>
                <w:color w:val="auto"/>
                <w:sz w:val="24"/>
              </w:rPr>
              <w:t>分</w:t>
            </w:r>
          </w:p>
        </w:tc>
        <w:tc>
          <w:tcPr>
            <w:tcW w:w="709" w:type="dxa"/>
          </w:tcPr>
          <w:p w14:paraId="4137B9D5">
            <w:pPr>
              <w:spacing w:line="300" w:lineRule="auto"/>
              <w:jc w:val="center"/>
              <w:rPr>
                <w:rFonts w:ascii="宋体" w:hAnsi="宋体"/>
                <w:color w:val="auto"/>
                <w:sz w:val="24"/>
              </w:rPr>
            </w:pPr>
          </w:p>
        </w:tc>
      </w:tr>
      <w:tr w14:paraId="553C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00" w:type="dxa"/>
          </w:tcPr>
          <w:p w14:paraId="03D89F11">
            <w:pPr>
              <w:spacing w:line="300" w:lineRule="auto"/>
              <w:jc w:val="center"/>
              <w:rPr>
                <w:rFonts w:hint="default" w:ascii="宋体" w:hAnsi="宋体" w:eastAsia="宋体"/>
                <w:color w:val="auto"/>
                <w:sz w:val="24"/>
                <w:lang w:val="en-US" w:eastAsia="zh-CN"/>
              </w:rPr>
            </w:pPr>
            <w:r>
              <w:rPr>
                <w:rFonts w:hint="eastAsia" w:ascii="宋体" w:hAnsi="宋体"/>
                <w:color w:val="auto"/>
                <w:sz w:val="24"/>
                <w:lang w:val="en-US" w:eastAsia="zh-CN"/>
              </w:rPr>
              <w:t>8</w:t>
            </w:r>
          </w:p>
        </w:tc>
        <w:tc>
          <w:tcPr>
            <w:tcW w:w="6289" w:type="dxa"/>
          </w:tcPr>
          <w:p w14:paraId="702DBADF">
            <w:pPr>
              <w:spacing w:line="300" w:lineRule="auto"/>
              <w:jc w:val="center"/>
              <w:rPr>
                <w:rFonts w:ascii="宋体" w:hAnsi="宋体"/>
                <w:color w:val="auto"/>
                <w:sz w:val="24"/>
              </w:rPr>
            </w:pPr>
            <w:r>
              <w:rPr>
                <w:rFonts w:hint="eastAsia" w:ascii="宋体" w:hAnsi="宋体"/>
                <w:color w:val="auto"/>
                <w:sz w:val="24"/>
              </w:rPr>
              <w:t>校优秀辩手、</w:t>
            </w:r>
            <w:r>
              <w:rPr>
                <w:rFonts w:ascii="宋体" w:hAnsi="宋体"/>
                <w:color w:val="auto"/>
                <w:sz w:val="24"/>
              </w:rPr>
              <w:t>院级优秀</w:t>
            </w:r>
            <w:r>
              <w:rPr>
                <w:rFonts w:hint="eastAsia" w:ascii="宋体" w:hAnsi="宋体"/>
                <w:color w:val="auto"/>
                <w:sz w:val="24"/>
              </w:rPr>
              <w:t>学生</w:t>
            </w:r>
          </w:p>
        </w:tc>
        <w:tc>
          <w:tcPr>
            <w:tcW w:w="992" w:type="dxa"/>
          </w:tcPr>
          <w:p w14:paraId="1E5752C5">
            <w:pPr>
              <w:spacing w:line="300" w:lineRule="auto"/>
              <w:rPr>
                <w:rFonts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分</w:t>
            </w:r>
          </w:p>
        </w:tc>
        <w:tc>
          <w:tcPr>
            <w:tcW w:w="709" w:type="dxa"/>
          </w:tcPr>
          <w:p w14:paraId="4A5B1DD5">
            <w:pPr>
              <w:spacing w:line="300" w:lineRule="auto"/>
              <w:jc w:val="center"/>
              <w:rPr>
                <w:rFonts w:ascii="宋体" w:hAnsi="宋体"/>
                <w:color w:val="auto"/>
                <w:sz w:val="24"/>
              </w:rPr>
            </w:pPr>
          </w:p>
        </w:tc>
      </w:tr>
      <w:tr w14:paraId="7E56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790" w:type="dxa"/>
            <w:gridSpan w:val="4"/>
          </w:tcPr>
          <w:p w14:paraId="2F4CFC53">
            <w:pPr>
              <w:spacing w:line="300" w:lineRule="auto"/>
              <w:jc w:val="left"/>
              <w:rPr>
                <w:rFonts w:ascii="宋体" w:hAnsi="宋体"/>
                <w:color w:val="auto"/>
                <w:sz w:val="24"/>
              </w:rPr>
            </w:pPr>
            <w:r>
              <w:rPr>
                <w:rFonts w:hint="eastAsia" w:ascii="宋体" w:hAnsi="宋体"/>
                <w:color w:val="auto"/>
                <w:sz w:val="24"/>
              </w:rPr>
              <w:t>团体获荣誉</w:t>
            </w:r>
            <w:r>
              <w:rPr>
                <w:rFonts w:ascii="宋体" w:hAnsi="宋体"/>
                <w:color w:val="auto"/>
                <w:sz w:val="24"/>
              </w:rPr>
              <w:t>，</w:t>
            </w:r>
            <w:r>
              <w:rPr>
                <w:rFonts w:hint="eastAsia" w:ascii="宋体" w:hAnsi="宋体"/>
                <w:color w:val="auto"/>
                <w:sz w:val="24"/>
              </w:rPr>
              <w:t>队长</w:t>
            </w:r>
            <w:r>
              <w:rPr>
                <w:rFonts w:ascii="宋体" w:hAnsi="宋体"/>
                <w:color w:val="auto"/>
                <w:sz w:val="24"/>
              </w:rPr>
              <w:t>或负责人</w:t>
            </w:r>
            <w:r>
              <w:rPr>
                <w:rFonts w:hint="eastAsia" w:ascii="宋体" w:hAnsi="宋体"/>
                <w:color w:val="auto"/>
                <w:sz w:val="24"/>
              </w:rPr>
              <w:t>按照</w:t>
            </w:r>
            <w:r>
              <w:rPr>
                <w:rFonts w:ascii="宋体" w:hAnsi="宋体"/>
                <w:color w:val="auto"/>
                <w:sz w:val="24"/>
              </w:rPr>
              <w:t>相应等级</w:t>
            </w:r>
            <w:r>
              <w:rPr>
                <w:rFonts w:hint="eastAsia" w:ascii="宋体" w:hAnsi="宋体"/>
                <w:color w:val="auto"/>
                <w:sz w:val="24"/>
              </w:rPr>
              <w:t>计分</w:t>
            </w:r>
            <w:r>
              <w:rPr>
                <w:rFonts w:ascii="宋体" w:hAnsi="宋体"/>
                <w:color w:val="auto"/>
                <w:sz w:val="24"/>
              </w:rPr>
              <w:t>，</w:t>
            </w:r>
            <w:r>
              <w:rPr>
                <w:rFonts w:hint="eastAsia" w:ascii="宋体" w:hAnsi="宋体"/>
                <w:color w:val="auto"/>
                <w:sz w:val="24"/>
              </w:rPr>
              <w:t>主要</w:t>
            </w:r>
            <w:r>
              <w:rPr>
                <w:rFonts w:ascii="宋体" w:hAnsi="宋体"/>
                <w:color w:val="auto"/>
                <w:sz w:val="24"/>
              </w:rPr>
              <w:t>参与人</w:t>
            </w:r>
            <w:r>
              <w:rPr>
                <w:rFonts w:hint="eastAsia" w:ascii="宋体" w:hAnsi="宋体"/>
                <w:color w:val="auto"/>
                <w:sz w:val="24"/>
              </w:rPr>
              <w:t>（前三名</w:t>
            </w:r>
            <w:r>
              <w:rPr>
                <w:rFonts w:ascii="宋体" w:hAnsi="宋体"/>
                <w:color w:val="auto"/>
                <w:sz w:val="24"/>
              </w:rPr>
              <w:t>，不含队长或负责人</w:t>
            </w:r>
            <w:r>
              <w:rPr>
                <w:rFonts w:hint="eastAsia" w:ascii="宋体" w:hAnsi="宋体"/>
                <w:color w:val="auto"/>
                <w:sz w:val="24"/>
              </w:rPr>
              <w:t>）</w:t>
            </w:r>
            <w:r>
              <w:rPr>
                <w:rFonts w:ascii="宋体" w:hAnsi="宋体"/>
                <w:color w:val="auto"/>
                <w:sz w:val="24"/>
              </w:rPr>
              <w:t>减半计分</w:t>
            </w:r>
            <w:r>
              <w:rPr>
                <w:rFonts w:hint="eastAsia" w:ascii="宋体" w:hAnsi="宋体"/>
                <w:color w:val="auto"/>
                <w:sz w:val="24"/>
              </w:rPr>
              <w:t>，</w:t>
            </w:r>
            <w:r>
              <w:rPr>
                <w:rFonts w:ascii="宋体" w:hAnsi="宋体"/>
                <w:color w:val="auto"/>
                <w:sz w:val="24"/>
              </w:rPr>
              <w:t>其他</w:t>
            </w:r>
            <w:r>
              <w:rPr>
                <w:rFonts w:hint="eastAsia" w:ascii="宋体" w:hAnsi="宋体"/>
                <w:color w:val="auto"/>
                <w:sz w:val="24"/>
              </w:rPr>
              <w:t>参与人（前六名）</w:t>
            </w:r>
            <w:r>
              <w:rPr>
                <w:rFonts w:ascii="宋体" w:hAnsi="宋体"/>
                <w:color w:val="auto"/>
                <w:sz w:val="24"/>
              </w:rPr>
              <w:t>3</w:t>
            </w:r>
            <w:r>
              <w:rPr>
                <w:rFonts w:hint="eastAsia" w:ascii="宋体" w:hAnsi="宋体"/>
                <w:color w:val="auto"/>
                <w:sz w:val="24"/>
              </w:rPr>
              <w:t>0</w:t>
            </w:r>
            <w:r>
              <w:rPr>
                <w:rFonts w:ascii="宋体" w:hAnsi="宋体"/>
                <w:color w:val="auto"/>
                <w:sz w:val="24"/>
              </w:rPr>
              <w:t>%计分。</w:t>
            </w:r>
          </w:p>
        </w:tc>
      </w:tr>
    </w:tbl>
    <w:p w14:paraId="0938D89C">
      <w:pPr>
        <w:spacing w:line="360" w:lineRule="auto"/>
        <w:rPr>
          <w:rFonts w:hint="eastAsia" w:ascii="宋体" w:hAnsi="宋体"/>
          <w:b/>
          <w:color w:val="auto"/>
          <w:sz w:val="24"/>
        </w:rPr>
      </w:pPr>
      <w:r>
        <w:rPr>
          <w:rFonts w:hint="eastAsia" w:ascii="宋体" w:hAnsi="宋体"/>
          <w:b/>
          <w:color w:val="auto"/>
          <w:sz w:val="24"/>
        </w:rPr>
        <w:t>荣誉获奖情况，</w:t>
      </w:r>
      <w:r>
        <w:rPr>
          <w:rFonts w:hint="eastAsia"/>
          <w:b/>
          <w:color w:val="auto"/>
          <w:sz w:val="24"/>
        </w:rPr>
        <w:t>同一类目仅取得分最高项，</w:t>
      </w:r>
      <w:r>
        <w:rPr>
          <w:rFonts w:hint="eastAsia" w:ascii="宋体" w:hAnsi="宋体"/>
          <w:b/>
          <w:color w:val="auto"/>
          <w:sz w:val="24"/>
        </w:rPr>
        <w:t>申报评奖时完成评比。</w:t>
      </w:r>
    </w:p>
    <w:p w14:paraId="44EE43B3">
      <w:pPr>
        <w:spacing w:line="360" w:lineRule="auto"/>
        <w:rPr>
          <w:rFonts w:ascii="宋体"/>
          <w:color w:val="auto"/>
          <w:sz w:val="24"/>
        </w:rPr>
      </w:pPr>
      <w:r>
        <w:rPr>
          <w:rFonts w:hint="eastAsia" w:ascii="仿宋_GB2312" w:eastAsia="仿宋_GB2312"/>
          <w:b/>
          <w:color w:val="auto"/>
          <w:sz w:val="32"/>
          <w:lang w:val="en-US" w:eastAsia="zh-CN"/>
        </w:rPr>
        <w:t>五</w:t>
      </w:r>
      <w:r>
        <w:rPr>
          <w:rFonts w:hint="eastAsia" w:ascii="仿宋_GB2312" w:eastAsia="仿宋_GB2312"/>
          <w:b/>
          <w:color w:val="auto"/>
          <w:sz w:val="32"/>
        </w:rPr>
        <w:t>、承担</w:t>
      </w:r>
      <w:r>
        <w:rPr>
          <w:rFonts w:ascii="仿宋_GB2312" w:eastAsia="仿宋_GB2312"/>
          <w:b/>
          <w:color w:val="auto"/>
          <w:sz w:val="32"/>
        </w:rPr>
        <w:t>学生工作</w:t>
      </w:r>
      <w:r>
        <w:rPr>
          <w:rFonts w:hint="eastAsia" w:ascii="仿宋_GB2312" w:eastAsia="仿宋_GB2312"/>
          <w:b/>
          <w:color w:val="auto"/>
          <w:sz w:val="32"/>
        </w:rPr>
        <w:t>和</w:t>
      </w:r>
      <w:r>
        <w:rPr>
          <w:rFonts w:ascii="仿宋_GB2312" w:eastAsia="仿宋_GB2312"/>
          <w:b/>
          <w:color w:val="auto"/>
          <w:sz w:val="32"/>
        </w:rPr>
        <w:t>参与学生</w:t>
      </w:r>
      <w:r>
        <w:rPr>
          <w:rFonts w:hint="eastAsia" w:ascii="仿宋_GB2312" w:eastAsia="仿宋_GB2312"/>
          <w:b/>
          <w:color w:val="auto"/>
          <w:sz w:val="32"/>
        </w:rPr>
        <w:t>活动情况计分</w:t>
      </w:r>
    </w:p>
    <w:p w14:paraId="4AC7F46E">
      <w:pPr>
        <w:spacing w:line="360" w:lineRule="auto"/>
        <w:rPr>
          <w:b/>
          <w:color w:val="auto"/>
          <w:sz w:val="24"/>
        </w:rPr>
      </w:pPr>
      <w:r>
        <w:rPr>
          <w:rFonts w:ascii="宋体" w:hAnsi="宋体"/>
          <w:b/>
          <w:color w:val="auto"/>
          <w:sz w:val="24"/>
        </w:rPr>
        <w:t>1</w:t>
      </w:r>
      <w:r>
        <w:rPr>
          <w:rFonts w:hint="eastAsia" w:ascii="宋体" w:hAnsi="宋体"/>
          <w:b/>
          <w:color w:val="auto"/>
          <w:sz w:val="24"/>
        </w:rPr>
        <w:t>、</w:t>
      </w:r>
      <w:r>
        <w:rPr>
          <w:rFonts w:hint="eastAsia"/>
          <w:b/>
          <w:color w:val="auto"/>
          <w:sz w:val="24"/>
        </w:rPr>
        <w:t>担任学生工作（</w:t>
      </w:r>
      <w:r>
        <w:rPr>
          <w:rFonts w:hint="eastAsia" w:ascii="宋体" w:hAnsi="宋体"/>
          <w:b/>
          <w:color w:val="auto"/>
          <w:sz w:val="24"/>
        </w:rPr>
        <w:t>此项取最高得分，不累加</w:t>
      </w:r>
      <w:r>
        <w:rPr>
          <w:rFonts w:ascii="宋体" w:hAnsi="宋体"/>
          <w:b/>
          <w:color w:val="auto"/>
          <w:sz w:val="24"/>
        </w:rPr>
        <w:t>)</w:t>
      </w:r>
      <w:r>
        <w:rPr>
          <w:rFonts w:hint="eastAsia"/>
          <w:b/>
          <w:color w:val="auto"/>
          <w:sz w:val="24"/>
        </w:rPr>
        <w:t>：</w:t>
      </w:r>
    </w:p>
    <w:tbl>
      <w:tblPr>
        <w:tblStyle w:val="6"/>
        <w:tblW w:w="921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4961"/>
        <w:gridCol w:w="803"/>
        <w:gridCol w:w="2741"/>
      </w:tblGrid>
      <w:tr w14:paraId="5255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0" w:type="dxa"/>
          </w:tcPr>
          <w:p w14:paraId="1D91A618">
            <w:pPr>
              <w:spacing w:line="300" w:lineRule="auto"/>
              <w:jc w:val="center"/>
              <w:rPr>
                <w:rFonts w:ascii="宋体" w:hAnsi="宋体"/>
                <w:color w:val="auto"/>
                <w:sz w:val="24"/>
              </w:rPr>
            </w:pPr>
            <w:r>
              <w:rPr>
                <w:rFonts w:hint="eastAsia" w:ascii="宋体" w:hAnsi="宋体"/>
                <w:color w:val="auto"/>
                <w:sz w:val="24"/>
              </w:rPr>
              <w:t>序号</w:t>
            </w:r>
          </w:p>
        </w:tc>
        <w:tc>
          <w:tcPr>
            <w:tcW w:w="4961" w:type="dxa"/>
          </w:tcPr>
          <w:p w14:paraId="6F65AFD5">
            <w:pPr>
              <w:spacing w:line="300" w:lineRule="auto"/>
              <w:jc w:val="center"/>
              <w:rPr>
                <w:rFonts w:ascii="宋体" w:hAnsi="宋体"/>
                <w:color w:val="auto"/>
                <w:sz w:val="24"/>
              </w:rPr>
            </w:pPr>
            <w:r>
              <w:rPr>
                <w:rFonts w:hint="eastAsia" w:ascii="宋体" w:hAnsi="宋体"/>
                <w:color w:val="auto"/>
                <w:sz w:val="24"/>
              </w:rPr>
              <w:t>担任社会工作情况</w:t>
            </w:r>
          </w:p>
        </w:tc>
        <w:tc>
          <w:tcPr>
            <w:tcW w:w="803" w:type="dxa"/>
          </w:tcPr>
          <w:p w14:paraId="3CC05966">
            <w:pPr>
              <w:spacing w:line="300" w:lineRule="auto"/>
              <w:jc w:val="center"/>
              <w:rPr>
                <w:rFonts w:ascii="宋体" w:hAnsi="宋体"/>
                <w:color w:val="auto"/>
                <w:sz w:val="24"/>
              </w:rPr>
            </w:pPr>
            <w:r>
              <w:rPr>
                <w:rFonts w:hint="eastAsia" w:ascii="宋体" w:hAnsi="宋体"/>
                <w:color w:val="auto"/>
                <w:sz w:val="24"/>
              </w:rPr>
              <w:t>得分</w:t>
            </w:r>
          </w:p>
        </w:tc>
        <w:tc>
          <w:tcPr>
            <w:tcW w:w="2741" w:type="dxa"/>
          </w:tcPr>
          <w:p w14:paraId="36557ABD">
            <w:pPr>
              <w:spacing w:line="300" w:lineRule="auto"/>
              <w:jc w:val="center"/>
              <w:rPr>
                <w:rFonts w:ascii="宋体" w:hAnsi="宋体"/>
                <w:color w:val="auto"/>
                <w:sz w:val="24"/>
              </w:rPr>
            </w:pPr>
            <w:r>
              <w:rPr>
                <w:rFonts w:hint="eastAsia" w:ascii="宋体" w:hAnsi="宋体"/>
                <w:color w:val="auto"/>
                <w:sz w:val="24"/>
              </w:rPr>
              <w:t>备注</w:t>
            </w:r>
          </w:p>
        </w:tc>
      </w:tr>
      <w:tr w14:paraId="39DD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710" w:type="dxa"/>
          </w:tcPr>
          <w:p w14:paraId="509D0FB6">
            <w:pPr>
              <w:spacing w:line="300" w:lineRule="auto"/>
              <w:jc w:val="center"/>
              <w:rPr>
                <w:rFonts w:ascii="宋体" w:hAnsi="宋体"/>
                <w:color w:val="auto"/>
                <w:sz w:val="24"/>
              </w:rPr>
            </w:pPr>
            <w:r>
              <w:rPr>
                <w:rFonts w:hint="eastAsia" w:ascii="宋体" w:hAnsi="宋体"/>
                <w:color w:val="auto"/>
                <w:sz w:val="24"/>
              </w:rPr>
              <w:t>1</w:t>
            </w:r>
          </w:p>
        </w:tc>
        <w:tc>
          <w:tcPr>
            <w:tcW w:w="4961" w:type="dxa"/>
          </w:tcPr>
          <w:p w14:paraId="381BB38E">
            <w:pPr>
              <w:spacing w:line="300" w:lineRule="auto"/>
              <w:jc w:val="left"/>
              <w:rPr>
                <w:rFonts w:ascii="宋体" w:hAnsi="宋体"/>
                <w:color w:val="auto"/>
                <w:sz w:val="24"/>
              </w:rPr>
            </w:pPr>
            <w:r>
              <w:rPr>
                <w:rFonts w:hint="eastAsia"/>
                <w:color w:val="auto"/>
                <w:sz w:val="24"/>
              </w:rPr>
              <w:t>担任校研究生会或院研究生会主席团成员、研究生主要社团负责人、</w:t>
            </w:r>
            <w:r>
              <w:rPr>
                <w:color w:val="auto"/>
                <w:sz w:val="24"/>
              </w:rPr>
              <w:t>院团委兼职副书记</w:t>
            </w:r>
            <w:r>
              <w:rPr>
                <w:rFonts w:hint="eastAsia"/>
                <w:color w:val="auto"/>
                <w:sz w:val="24"/>
              </w:rPr>
              <w:t>1年以上且切实履行岗位职责。</w:t>
            </w:r>
          </w:p>
        </w:tc>
        <w:tc>
          <w:tcPr>
            <w:tcW w:w="803" w:type="dxa"/>
          </w:tcPr>
          <w:p w14:paraId="091D70E6">
            <w:pPr>
              <w:spacing w:line="300" w:lineRule="auto"/>
              <w:rPr>
                <w:rFonts w:ascii="宋体" w:hAnsi="宋体"/>
                <w:color w:val="auto"/>
                <w:sz w:val="24"/>
              </w:rPr>
            </w:pPr>
            <w:r>
              <w:rPr>
                <w:rFonts w:hint="eastAsia" w:ascii="宋体" w:hAnsi="宋体"/>
                <w:color w:val="auto"/>
                <w:sz w:val="24"/>
              </w:rPr>
              <w:t>8分</w:t>
            </w:r>
          </w:p>
        </w:tc>
        <w:tc>
          <w:tcPr>
            <w:tcW w:w="2741" w:type="dxa"/>
            <w:vMerge w:val="restart"/>
          </w:tcPr>
          <w:p w14:paraId="62A6C36A">
            <w:pPr>
              <w:spacing w:line="300" w:lineRule="auto"/>
              <w:jc w:val="left"/>
              <w:rPr>
                <w:color w:val="auto"/>
                <w:sz w:val="20"/>
              </w:rPr>
            </w:pPr>
            <w:r>
              <w:rPr>
                <w:rFonts w:hint="eastAsia"/>
                <w:color w:val="auto"/>
                <w:sz w:val="20"/>
              </w:rPr>
              <w:t>1、担任以上工作并获得校级先进或优秀的另加2分，获得院级优秀个人的另加1分。</w:t>
            </w:r>
          </w:p>
          <w:p w14:paraId="3E3BD985">
            <w:pPr>
              <w:spacing w:line="300" w:lineRule="auto"/>
              <w:jc w:val="left"/>
              <w:rPr>
                <w:color w:val="auto"/>
                <w:sz w:val="20"/>
              </w:rPr>
            </w:pPr>
            <w:r>
              <w:rPr>
                <w:rFonts w:hint="eastAsia" w:ascii="宋体" w:hAnsi="宋体"/>
                <w:color w:val="auto"/>
                <w:sz w:val="20"/>
              </w:rPr>
              <w:t>2、</w:t>
            </w:r>
            <w:r>
              <w:rPr>
                <w:rFonts w:hint="eastAsia"/>
                <w:color w:val="auto"/>
                <w:sz w:val="20"/>
              </w:rPr>
              <w:t>此类中不可兼得，如担任几个职务，按照分数高的计入总分。</w:t>
            </w:r>
          </w:p>
          <w:p w14:paraId="7A5E824F">
            <w:pPr>
              <w:spacing w:line="300" w:lineRule="auto"/>
              <w:jc w:val="left"/>
              <w:rPr>
                <w:rFonts w:ascii="宋体" w:hAnsi="宋体"/>
                <w:color w:val="auto"/>
                <w:sz w:val="20"/>
              </w:rPr>
            </w:pPr>
            <w:r>
              <w:rPr>
                <w:rFonts w:hint="eastAsia"/>
                <w:color w:val="auto"/>
                <w:sz w:val="20"/>
              </w:rPr>
              <w:t>3、</w:t>
            </w:r>
            <w:r>
              <w:rPr>
                <w:color w:val="auto"/>
                <w:sz w:val="20"/>
              </w:rPr>
              <w:t>担任职务不满一年超过三个月且工作表现较好的可按照三分之一进行计分</w:t>
            </w:r>
            <w:r>
              <w:rPr>
                <w:rFonts w:hint="eastAsia"/>
                <w:color w:val="auto"/>
                <w:sz w:val="20"/>
              </w:rPr>
              <w:t>。</w:t>
            </w:r>
          </w:p>
        </w:tc>
      </w:tr>
      <w:tr w14:paraId="33FD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710" w:type="dxa"/>
          </w:tcPr>
          <w:p w14:paraId="57D4DB80">
            <w:pPr>
              <w:spacing w:line="300" w:lineRule="auto"/>
              <w:jc w:val="center"/>
              <w:rPr>
                <w:rFonts w:ascii="宋体" w:hAnsi="宋体"/>
                <w:color w:val="auto"/>
                <w:sz w:val="24"/>
              </w:rPr>
            </w:pPr>
            <w:r>
              <w:rPr>
                <w:rFonts w:hint="eastAsia" w:ascii="宋体" w:hAnsi="宋体"/>
                <w:color w:val="auto"/>
                <w:sz w:val="24"/>
              </w:rPr>
              <w:t>2</w:t>
            </w:r>
          </w:p>
        </w:tc>
        <w:tc>
          <w:tcPr>
            <w:tcW w:w="4961" w:type="dxa"/>
          </w:tcPr>
          <w:p w14:paraId="0F81F3E4">
            <w:pPr>
              <w:spacing w:line="300" w:lineRule="auto"/>
              <w:jc w:val="left"/>
              <w:rPr>
                <w:rFonts w:ascii="宋体" w:hAnsi="宋体"/>
                <w:color w:val="auto"/>
                <w:sz w:val="24"/>
              </w:rPr>
            </w:pPr>
            <w:r>
              <w:rPr>
                <w:rFonts w:hint="eastAsia"/>
                <w:color w:val="auto"/>
                <w:sz w:val="24"/>
              </w:rPr>
              <w:t>担任学校或学院研究生会部长、院团委</w:t>
            </w:r>
            <w:r>
              <w:rPr>
                <w:color w:val="auto"/>
                <w:sz w:val="24"/>
              </w:rPr>
              <w:t>各部门部长、</w:t>
            </w:r>
            <w:r>
              <w:rPr>
                <w:rFonts w:hint="eastAsia"/>
                <w:color w:val="auto"/>
                <w:sz w:val="24"/>
                <w:lang w:val="en-US" w:eastAsia="zh-CN"/>
              </w:rPr>
              <w:t>班长、</w:t>
            </w:r>
            <w:r>
              <w:rPr>
                <w:rFonts w:hint="eastAsia"/>
                <w:color w:val="auto"/>
                <w:sz w:val="24"/>
              </w:rPr>
              <w:t>团支书、党支部书记</w:t>
            </w:r>
            <w:r>
              <w:rPr>
                <w:color w:val="auto"/>
                <w:sz w:val="24"/>
              </w:rPr>
              <w:t>1</w:t>
            </w:r>
            <w:r>
              <w:rPr>
                <w:rFonts w:hint="eastAsia"/>
                <w:color w:val="auto"/>
                <w:sz w:val="24"/>
              </w:rPr>
              <w:t>年以上且切实履行岗位职责</w:t>
            </w:r>
          </w:p>
        </w:tc>
        <w:tc>
          <w:tcPr>
            <w:tcW w:w="803" w:type="dxa"/>
          </w:tcPr>
          <w:p w14:paraId="06888A40">
            <w:pPr>
              <w:spacing w:line="300" w:lineRule="auto"/>
              <w:rPr>
                <w:rFonts w:ascii="宋体" w:hAnsi="宋体"/>
                <w:color w:val="auto"/>
                <w:sz w:val="24"/>
              </w:rPr>
            </w:pPr>
            <w:r>
              <w:rPr>
                <w:rFonts w:hint="eastAsia" w:ascii="宋体" w:hAnsi="宋体"/>
                <w:color w:val="auto"/>
                <w:sz w:val="24"/>
              </w:rPr>
              <w:t>6分</w:t>
            </w:r>
          </w:p>
        </w:tc>
        <w:tc>
          <w:tcPr>
            <w:tcW w:w="2741" w:type="dxa"/>
            <w:vMerge w:val="continue"/>
          </w:tcPr>
          <w:p w14:paraId="2598D542">
            <w:pPr>
              <w:spacing w:line="300" w:lineRule="auto"/>
              <w:jc w:val="center"/>
              <w:rPr>
                <w:rFonts w:ascii="宋体" w:hAnsi="宋体"/>
                <w:color w:val="auto"/>
                <w:sz w:val="24"/>
              </w:rPr>
            </w:pPr>
          </w:p>
        </w:tc>
      </w:tr>
      <w:tr w14:paraId="2F89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710" w:type="dxa"/>
          </w:tcPr>
          <w:p w14:paraId="1A0B0C8B">
            <w:pPr>
              <w:spacing w:line="300" w:lineRule="auto"/>
              <w:jc w:val="center"/>
              <w:rPr>
                <w:rFonts w:ascii="宋体" w:hAnsi="宋体"/>
                <w:color w:val="auto"/>
                <w:sz w:val="24"/>
              </w:rPr>
            </w:pPr>
            <w:r>
              <w:rPr>
                <w:rFonts w:hint="eastAsia" w:ascii="宋体" w:hAnsi="宋体"/>
                <w:color w:val="auto"/>
                <w:sz w:val="24"/>
              </w:rPr>
              <w:t>3</w:t>
            </w:r>
          </w:p>
        </w:tc>
        <w:tc>
          <w:tcPr>
            <w:tcW w:w="4961" w:type="dxa"/>
          </w:tcPr>
          <w:p w14:paraId="35E04694">
            <w:pPr>
              <w:spacing w:line="300" w:lineRule="auto"/>
              <w:jc w:val="left"/>
              <w:rPr>
                <w:color w:val="auto"/>
                <w:sz w:val="24"/>
              </w:rPr>
            </w:pPr>
            <w:r>
              <w:rPr>
                <w:rFonts w:hint="eastAsia"/>
                <w:color w:val="auto"/>
                <w:sz w:val="24"/>
              </w:rPr>
              <w:t>担任</w:t>
            </w:r>
            <w:r>
              <w:rPr>
                <w:color w:val="auto"/>
                <w:sz w:val="24"/>
              </w:rPr>
              <w:t>学院党支部</w:t>
            </w:r>
            <w:r>
              <w:rPr>
                <w:rFonts w:hint="eastAsia"/>
                <w:color w:val="auto"/>
                <w:sz w:val="24"/>
              </w:rPr>
              <w:t>副书记</w:t>
            </w:r>
            <w:r>
              <w:rPr>
                <w:color w:val="auto"/>
                <w:sz w:val="24"/>
              </w:rPr>
              <w:t>1</w:t>
            </w:r>
            <w:r>
              <w:rPr>
                <w:rFonts w:hint="eastAsia"/>
                <w:color w:val="auto"/>
                <w:sz w:val="24"/>
              </w:rPr>
              <w:t>年以上且切实履行岗位职责</w:t>
            </w:r>
          </w:p>
        </w:tc>
        <w:tc>
          <w:tcPr>
            <w:tcW w:w="803" w:type="dxa"/>
          </w:tcPr>
          <w:p w14:paraId="6FEDF5C3">
            <w:pPr>
              <w:spacing w:line="300" w:lineRule="auto"/>
              <w:rPr>
                <w:rFonts w:ascii="宋体" w:hAnsi="宋体"/>
                <w:color w:val="auto"/>
                <w:sz w:val="24"/>
              </w:rPr>
            </w:pPr>
            <w:r>
              <w:rPr>
                <w:rFonts w:hint="eastAsia" w:ascii="宋体" w:hAnsi="宋体"/>
                <w:color w:val="auto"/>
                <w:sz w:val="24"/>
              </w:rPr>
              <w:t>4分</w:t>
            </w:r>
          </w:p>
        </w:tc>
        <w:tc>
          <w:tcPr>
            <w:tcW w:w="2741" w:type="dxa"/>
            <w:vMerge w:val="continue"/>
          </w:tcPr>
          <w:p w14:paraId="0CDC71F8">
            <w:pPr>
              <w:spacing w:line="300" w:lineRule="auto"/>
              <w:jc w:val="center"/>
              <w:rPr>
                <w:rFonts w:ascii="宋体" w:hAnsi="宋体"/>
                <w:color w:val="auto"/>
                <w:sz w:val="24"/>
              </w:rPr>
            </w:pPr>
          </w:p>
        </w:tc>
      </w:tr>
      <w:tr w14:paraId="562B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0" w:type="dxa"/>
          </w:tcPr>
          <w:p w14:paraId="4E48A4B0">
            <w:pPr>
              <w:spacing w:line="300" w:lineRule="auto"/>
              <w:jc w:val="center"/>
              <w:rPr>
                <w:rFonts w:hint="eastAsia" w:ascii="宋体" w:hAnsi="宋体" w:eastAsia="宋体"/>
                <w:color w:val="auto"/>
                <w:sz w:val="24"/>
                <w:lang w:eastAsia="zh-CN"/>
              </w:rPr>
            </w:pPr>
            <w:r>
              <w:rPr>
                <w:rFonts w:hint="eastAsia" w:ascii="宋体" w:hAnsi="宋体"/>
                <w:color w:val="auto"/>
                <w:sz w:val="24"/>
                <w:lang w:val="en-US" w:eastAsia="zh-CN"/>
              </w:rPr>
              <w:t>4</w:t>
            </w:r>
          </w:p>
        </w:tc>
        <w:tc>
          <w:tcPr>
            <w:tcW w:w="4961" w:type="dxa"/>
          </w:tcPr>
          <w:p w14:paraId="0105A11D">
            <w:pPr>
              <w:spacing w:line="300" w:lineRule="auto"/>
              <w:jc w:val="left"/>
              <w:rPr>
                <w:rFonts w:ascii="宋体" w:hAnsi="宋体"/>
                <w:color w:val="auto"/>
                <w:sz w:val="24"/>
              </w:rPr>
            </w:pPr>
            <w:r>
              <w:rPr>
                <w:rFonts w:hint="eastAsia"/>
                <w:color w:val="auto"/>
                <w:sz w:val="24"/>
              </w:rPr>
              <w:t>担任学院研究生会干事、团委干事、</w:t>
            </w:r>
            <w:r>
              <w:rPr>
                <w:rFonts w:hint="eastAsia"/>
                <w:color w:val="auto"/>
                <w:sz w:val="24"/>
                <w:lang w:val="en-US" w:eastAsia="zh-CN"/>
              </w:rPr>
              <w:t>班委、</w:t>
            </w:r>
            <w:r>
              <w:rPr>
                <w:rFonts w:hint="eastAsia"/>
                <w:color w:val="auto"/>
                <w:sz w:val="24"/>
              </w:rPr>
              <w:t>支委且切实履行职务</w:t>
            </w:r>
          </w:p>
        </w:tc>
        <w:tc>
          <w:tcPr>
            <w:tcW w:w="803" w:type="dxa"/>
          </w:tcPr>
          <w:p w14:paraId="175EC9C9">
            <w:pPr>
              <w:spacing w:line="300" w:lineRule="auto"/>
              <w:rPr>
                <w:rFonts w:ascii="宋体" w:hAnsi="宋体"/>
                <w:color w:val="auto"/>
                <w:sz w:val="24"/>
              </w:rPr>
            </w:pPr>
            <w:r>
              <w:rPr>
                <w:rFonts w:ascii="宋体" w:hAnsi="宋体"/>
                <w:color w:val="auto"/>
                <w:sz w:val="24"/>
              </w:rPr>
              <w:t>3</w:t>
            </w:r>
            <w:r>
              <w:rPr>
                <w:rFonts w:hint="eastAsia" w:ascii="宋体" w:hAnsi="宋体"/>
                <w:color w:val="auto"/>
                <w:sz w:val="24"/>
              </w:rPr>
              <w:t>分</w:t>
            </w:r>
          </w:p>
        </w:tc>
        <w:tc>
          <w:tcPr>
            <w:tcW w:w="2741" w:type="dxa"/>
            <w:vMerge w:val="continue"/>
          </w:tcPr>
          <w:p w14:paraId="20DB22E2">
            <w:pPr>
              <w:spacing w:line="300" w:lineRule="auto"/>
              <w:jc w:val="center"/>
              <w:rPr>
                <w:rFonts w:ascii="宋体" w:hAnsi="宋体"/>
                <w:color w:val="auto"/>
                <w:sz w:val="24"/>
              </w:rPr>
            </w:pPr>
          </w:p>
        </w:tc>
      </w:tr>
    </w:tbl>
    <w:p w14:paraId="597DE6EB">
      <w:pPr>
        <w:spacing w:line="360" w:lineRule="auto"/>
        <w:rPr>
          <w:b/>
          <w:color w:val="auto"/>
          <w:sz w:val="24"/>
        </w:rPr>
      </w:pPr>
      <w:r>
        <w:rPr>
          <w:b/>
          <w:color w:val="auto"/>
          <w:sz w:val="24"/>
        </w:rPr>
        <w:t>2</w:t>
      </w:r>
      <w:r>
        <w:rPr>
          <w:rFonts w:hint="eastAsia"/>
          <w:b/>
          <w:color w:val="auto"/>
          <w:sz w:val="24"/>
        </w:rPr>
        <w:t>、参加学生活动：</w:t>
      </w:r>
    </w:p>
    <w:tbl>
      <w:tblPr>
        <w:tblStyle w:val="6"/>
        <w:tblW w:w="921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4522"/>
        <w:gridCol w:w="645"/>
        <w:gridCol w:w="3338"/>
      </w:tblGrid>
      <w:tr w14:paraId="3B31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10" w:type="dxa"/>
          </w:tcPr>
          <w:p w14:paraId="78A1F4D2">
            <w:pPr>
              <w:spacing w:line="300" w:lineRule="auto"/>
              <w:jc w:val="center"/>
              <w:rPr>
                <w:rFonts w:ascii="宋体" w:hAnsi="宋体"/>
                <w:color w:val="auto"/>
                <w:sz w:val="24"/>
              </w:rPr>
            </w:pPr>
            <w:r>
              <w:rPr>
                <w:rFonts w:hint="eastAsia" w:ascii="宋体" w:hAnsi="宋体"/>
                <w:color w:val="auto"/>
                <w:sz w:val="24"/>
              </w:rPr>
              <w:t>序号</w:t>
            </w:r>
          </w:p>
        </w:tc>
        <w:tc>
          <w:tcPr>
            <w:tcW w:w="4522" w:type="dxa"/>
          </w:tcPr>
          <w:p w14:paraId="513E73D9">
            <w:pPr>
              <w:spacing w:line="300" w:lineRule="auto"/>
              <w:jc w:val="center"/>
              <w:rPr>
                <w:rFonts w:ascii="宋体" w:hAnsi="宋体"/>
                <w:color w:val="auto"/>
                <w:sz w:val="24"/>
              </w:rPr>
            </w:pPr>
            <w:r>
              <w:rPr>
                <w:rFonts w:hint="eastAsia" w:ascii="宋体" w:hAnsi="宋体"/>
                <w:color w:val="auto"/>
                <w:sz w:val="24"/>
              </w:rPr>
              <w:t>参加学生活动情况</w:t>
            </w:r>
          </w:p>
        </w:tc>
        <w:tc>
          <w:tcPr>
            <w:tcW w:w="645" w:type="dxa"/>
          </w:tcPr>
          <w:p w14:paraId="26441BA3">
            <w:pPr>
              <w:spacing w:line="300" w:lineRule="auto"/>
              <w:jc w:val="center"/>
              <w:rPr>
                <w:rFonts w:ascii="宋体" w:hAnsi="宋体"/>
                <w:color w:val="auto"/>
                <w:sz w:val="24"/>
              </w:rPr>
            </w:pPr>
            <w:r>
              <w:rPr>
                <w:rFonts w:hint="eastAsia" w:ascii="宋体" w:hAnsi="宋体"/>
                <w:color w:val="auto"/>
                <w:sz w:val="24"/>
              </w:rPr>
              <w:t>得分</w:t>
            </w:r>
          </w:p>
        </w:tc>
        <w:tc>
          <w:tcPr>
            <w:tcW w:w="3338" w:type="dxa"/>
          </w:tcPr>
          <w:p w14:paraId="0D9CE2FD">
            <w:pPr>
              <w:spacing w:line="300" w:lineRule="auto"/>
              <w:jc w:val="center"/>
              <w:rPr>
                <w:rFonts w:ascii="宋体" w:hAnsi="宋体"/>
                <w:color w:val="auto"/>
                <w:sz w:val="24"/>
              </w:rPr>
            </w:pPr>
            <w:r>
              <w:rPr>
                <w:rFonts w:hint="eastAsia" w:ascii="宋体" w:hAnsi="宋体"/>
                <w:color w:val="auto"/>
                <w:sz w:val="24"/>
              </w:rPr>
              <w:t>备注</w:t>
            </w:r>
          </w:p>
        </w:tc>
      </w:tr>
      <w:tr w14:paraId="250B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710" w:type="dxa"/>
          </w:tcPr>
          <w:p w14:paraId="5B168AC2">
            <w:pPr>
              <w:spacing w:line="300" w:lineRule="auto"/>
              <w:jc w:val="center"/>
              <w:rPr>
                <w:rFonts w:ascii="宋体" w:hAnsi="宋体"/>
                <w:color w:val="auto"/>
                <w:sz w:val="24"/>
              </w:rPr>
            </w:pPr>
            <w:r>
              <w:rPr>
                <w:rFonts w:hint="eastAsia" w:ascii="宋体" w:hAnsi="宋体"/>
                <w:color w:val="auto"/>
                <w:sz w:val="24"/>
              </w:rPr>
              <w:t>1</w:t>
            </w:r>
          </w:p>
        </w:tc>
        <w:tc>
          <w:tcPr>
            <w:tcW w:w="4522" w:type="dxa"/>
          </w:tcPr>
          <w:p w14:paraId="7E33FE6A">
            <w:pPr>
              <w:spacing w:line="300" w:lineRule="auto"/>
              <w:jc w:val="left"/>
              <w:rPr>
                <w:rFonts w:hint="default" w:ascii="宋体" w:hAnsi="宋体" w:eastAsia="宋体"/>
                <w:color w:val="auto"/>
                <w:sz w:val="24"/>
                <w:lang w:val="en-US" w:eastAsia="zh-CN"/>
              </w:rPr>
            </w:pPr>
            <w:r>
              <w:rPr>
                <w:rFonts w:hint="eastAsia"/>
                <w:color w:val="auto"/>
                <w:sz w:val="24"/>
              </w:rPr>
              <w:t>学院重大活动：</w:t>
            </w:r>
            <w:r>
              <w:rPr>
                <w:rFonts w:hint="eastAsia"/>
                <w:color w:val="auto"/>
                <w:sz w:val="24"/>
                <w:lang w:val="en-US" w:eastAsia="zh-CN"/>
              </w:rPr>
              <w:t>艺术之夜晚会、毕业欢送会、校级大学生职业规划大赛、简历大赛、模拟面试大赛、鸿图大讲堂、选调青春故事汇、企业走访调研、</w:t>
            </w:r>
            <w:r>
              <w:rPr>
                <w:rFonts w:hint="eastAsia"/>
                <w:color w:val="C00000"/>
                <w:sz w:val="24"/>
                <w:lang w:val="en-US" w:eastAsia="zh-CN"/>
              </w:rPr>
              <w:t>学院举办的第二课堂课程展、江苏省科学与艺术创新大赛艺术疗愈主题赛道、江苏省心理情景剧大赛等。</w:t>
            </w:r>
          </w:p>
        </w:tc>
        <w:tc>
          <w:tcPr>
            <w:tcW w:w="645" w:type="dxa"/>
          </w:tcPr>
          <w:p w14:paraId="4C38FC55">
            <w:pPr>
              <w:spacing w:line="300" w:lineRule="auto"/>
              <w:rPr>
                <w:rFonts w:ascii="宋体" w:hAnsi="宋体"/>
                <w:color w:val="auto"/>
                <w:sz w:val="24"/>
              </w:rPr>
            </w:pPr>
            <w:r>
              <w:rPr>
                <w:rFonts w:hint="eastAsia" w:ascii="宋体" w:hAnsi="宋体"/>
                <w:color w:val="auto"/>
                <w:sz w:val="24"/>
              </w:rPr>
              <w:t>4分</w:t>
            </w:r>
          </w:p>
        </w:tc>
        <w:tc>
          <w:tcPr>
            <w:tcW w:w="3338" w:type="dxa"/>
          </w:tcPr>
          <w:p w14:paraId="0B5055EE">
            <w:pPr>
              <w:spacing w:line="300" w:lineRule="auto"/>
              <w:jc w:val="left"/>
              <w:rPr>
                <w:rFonts w:ascii="宋体" w:hAnsi="宋体"/>
                <w:color w:val="auto"/>
                <w:sz w:val="20"/>
              </w:rPr>
            </w:pPr>
            <w:r>
              <w:rPr>
                <w:rFonts w:hint="eastAsia"/>
                <w:color w:val="auto"/>
                <w:sz w:val="20"/>
              </w:rPr>
              <w:t>博士生参与各类正规协会举办的展览，按参与学院重大活动计分，每次</w:t>
            </w:r>
            <w:r>
              <w:rPr>
                <w:color w:val="auto"/>
                <w:sz w:val="20"/>
              </w:rPr>
              <w:t>+3</w:t>
            </w:r>
            <w:r>
              <w:rPr>
                <w:rFonts w:hint="eastAsia"/>
                <w:color w:val="auto"/>
                <w:sz w:val="20"/>
                <w:lang w:eastAsia="zh-CN"/>
              </w:rPr>
              <w:t>。</w:t>
            </w:r>
            <w:r>
              <w:rPr>
                <w:rFonts w:hint="eastAsia"/>
                <w:color w:val="C00000"/>
                <w:sz w:val="20"/>
                <w:lang w:val="en-US" w:eastAsia="zh-CN"/>
              </w:rPr>
              <w:t>大赛类获奖另加分，校级一等奖+5分，二等奖+4分，三等奖+3分，优秀奖+2分；省级一等奖+8分，二等奖+6分，三等奖+5分，优秀奖3分</w:t>
            </w:r>
            <w:r>
              <w:rPr>
                <w:rFonts w:hint="eastAsia"/>
                <w:color w:val="C00000"/>
                <w:sz w:val="20"/>
              </w:rPr>
              <w:t>。</w:t>
            </w:r>
            <w:r>
              <w:rPr>
                <w:rFonts w:hint="eastAsia"/>
                <w:color w:val="C00000"/>
                <w:sz w:val="20"/>
                <w:lang w:val="en-US" w:eastAsia="zh-CN"/>
              </w:rPr>
              <w:t>团体奖负责人+60%，团队成员平分40%。</w:t>
            </w:r>
            <w:r>
              <w:rPr>
                <w:rFonts w:hint="eastAsia"/>
                <w:color w:val="auto"/>
                <w:sz w:val="20"/>
                <w:lang w:val="en-US" w:eastAsia="zh-CN"/>
              </w:rPr>
              <w:t>此项</w:t>
            </w:r>
            <w:r>
              <w:rPr>
                <w:rFonts w:hint="eastAsia"/>
                <w:color w:val="auto"/>
                <w:sz w:val="20"/>
              </w:rPr>
              <w:t>最高不超过</w:t>
            </w:r>
            <w:r>
              <w:rPr>
                <w:rFonts w:hint="eastAsia"/>
                <w:color w:val="auto"/>
                <w:sz w:val="20"/>
                <w:lang w:val="en-US" w:eastAsia="zh-CN"/>
              </w:rPr>
              <w:t>20</w:t>
            </w:r>
            <w:r>
              <w:rPr>
                <w:rFonts w:hint="eastAsia"/>
                <w:color w:val="auto"/>
                <w:sz w:val="20"/>
              </w:rPr>
              <w:t>分。</w:t>
            </w:r>
          </w:p>
        </w:tc>
      </w:tr>
      <w:tr w14:paraId="1071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710" w:type="dxa"/>
          </w:tcPr>
          <w:p w14:paraId="46CABB21">
            <w:pPr>
              <w:spacing w:line="300" w:lineRule="auto"/>
              <w:jc w:val="center"/>
              <w:rPr>
                <w:rFonts w:ascii="宋体" w:hAnsi="宋体"/>
                <w:color w:val="auto"/>
                <w:sz w:val="24"/>
              </w:rPr>
            </w:pPr>
            <w:r>
              <w:rPr>
                <w:rFonts w:hint="eastAsia" w:ascii="宋体" w:hAnsi="宋体"/>
                <w:color w:val="auto"/>
                <w:sz w:val="24"/>
              </w:rPr>
              <w:t>2</w:t>
            </w:r>
          </w:p>
        </w:tc>
        <w:tc>
          <w:tcPr>
            <w:tcW w:w="4522" w:type="dxa"/>
          </w:tcPr>
          <w:p w14:paraId="503A25CC">
            <w:pPr>
              <w:spacing w:line="300" w:lineRule="auto"/>
              <w:jc w:val="left"/>
              <w:rPr>
                <w:color w:val="auto"/>
                <w:sz w:val="24"/>
              </w:rPr>
            </w:pPr>
            <w:r>
              <w:rPr>
                <w:rFonts w:hint="eastAsia"/>
                <w:color w:val="auto"/>
                <w:sz w:val="24"/>
              </w:rPr>
              <w:t>参与学校寒暑假社会实践活动</w:t>
            </w:r>
          </w:p>
        </w:tc>
        <w:tc>
          <w:tcPr>
            <w:tcW w:w="645" w:type="dxa"/>
          </w:tcPr>
          <w:p w14:paraId="14D23595">
            <w:pPr>
              <w:spacing w:line="300" w:lineRule="auto"/>
              <w:rPr>
                <w:rFonts w:ascii="宋体" w:hAnsi="宋体"/>
                <w:color w:val="auto"/>
                <w:sz w:val="24"/>
              </w:rPr>
            </w:pPr>
            <w:r>
              <w:rPr>
                <w:rFonts w:hint="eastAsia" w:ascii="宋体" w:hAnsi="宋体"/>
                <w:color w:val="auto"/>
                <w:sz w:val="24"/>
              </w:rPr>
              <w:t>3分</w:t>
            </w:r>
          </w:p>
        </w:tc>
        <w:tc>
          <w:tcPr>
            <w:tcW w:w="3338" w:type="dxa"/>
          </w:tcPr>
          <w:p w14:paraId="6FECD844">
            <w:pPr>
              <w:spacing w:line="300" w:lineRule="auto"/>
              <w:jc w:val="left"/>
              <w:rPr>
                <w:color w:val="auto"/>
                <w:sz w:val="20"/>
              </w:rPr>
            </w:pPr>
            <w:r>
              <w:rPr>
                <w:rFonts w:hint="eastAsia"/>
                <w:color w:val="auto"/>
                <w:sz w:val="20"/>
              </w:rPr>
              <w:t>参与者必须积极承担工作，未承担实际工作不计分；队长另加2分。最高</w:t>
            </w:r>
            <w:r>
              <w:rPr>
                <w:color w:val="auto"/>
                <w:sz w:val="20"/>
              </w:rPr>
              <w:t>不超</w:t>
            </w:r>
            <w:r>
              <w:rPr>
                <w:rFonts w:hint="eastAsia"/>
                <w:color w:val="auto"/>
                <w:sz w:val="20"/>
              </w:rPr>
              <w:t>12分</w:t>
            </w:r>
            <w:r>
              <w:rPr>
                <w:color w:val="auto"/>
                <w:sz w:val="20"/>
              </w:rPr>
              <w:t>。</w:t>
            </w:r>
          </w:p>
        </w:tc>
      </w:tr>
      <w:tr w14:paraId="38E8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0" w:type="dxa"/>
          </w:tcPr>
          <w:p w14:paraId="01B961BE">
            <w:pPr>
              <w:spacing w:line="300" w:lineRule="auto"/>
              <w:jc w:val="center"/>
              <w:rPr>
                <w:rFonts w:ascii="宋体" w:hAnsi="宋体"/>
                <w:color w:val="auto"/>
                <w:sz w:val="24"/>
              </w:rPr>
            </w:pPr>
            <w:r>
              <w:rPr>
                <w:rFonts w:hint="eastAsia" w:ascii="宋体" w:hAnsi="宋体"/>
                <w:color w:val="auto"/>
                <w:sz w:val="24"/>
              </w:rPr>
              <w:t>3</w:t>
            </w:r>
          </w:p>
        </w:tc>
        <w:tc>
          <w:tcPr>
            <w:tcW w:w="4522" w:type="dxa"/>
          </w:tcPr>
          <w:p w14:paraId="51508BD8">
            <w:pPr>
              <w:spacing w:line="300" w:lineRule="auto"/>
              <w:jc w:val="left"/>
              <w:rPr>
                <w:color w:val="auto"/>
                <w:sz w:val="24"/>
              </w:rPr>
            </w:pPr>
            <w:r>
              <w:rPr>
                <w:rFonts w:hint="eastAsia"/>
                <w:color w:val="auto"/>
                <w:sz w:val="24"/>
              </w:rPr>
              <w:t>参与学院兼职辅导员\助管\辅导员体验计划</w:t>
            </w:r>
          </w:p>
        </w:tc>
        <w:tc>
          <w:tcPr>
            <w:tcW w:w="645" w:type="dxa"/>
          </w:tcPr>
          <w:p w14:paraId="23A1C58E">
            <w:pPr>
              <w:spacing w:line="300" w:lineRule="auto"/>
              <w:rPr>
                <w:rFonts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分</w:t>
            </w:r>
          </w:p>
        </w:tc>
        <w:tc>
          <w:tcPr>
            <w:tcW w:w="3338" w:type="dxa"/>
          </w:tcPr>
          <w:p w14:paraId="03DE2BDB">
            <w:pPr>
              <w:spacing w:line="300" w:lineRule="auto"/>
              <w:jc w:val="left"/>
              <w:rPr>
                <w:color w:val="auto"/>
                <w:sz w:val="20"/>
              </w:rPr>
            </w:pPr>
            <w:r>
              <w:rPr>
                <w:rFonts w:hint="eastAsia"/>
                <w:color w:val="auto"/>
                <w:sz w:val="20"/>
              </w:rPr>
              <w:t>参与者积极承担工作且工作时间不少于2个月</w:t>
            </w:r>
          </w:p>
        </w:tc>
      </w:tr>
      <w:tr w14:paraId="529B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710" w:type="dxa"/>
          </w:tcPr>
          <w:p w14:paraId="516D78A4">
            <w:pPr>
              <w:spacing w:line="300" w:lineRule="auto"/>
              <w:jc w:val="center"/>
              <w:rPr>
                <w:rFonts w:ascii="宋体" w:hAnsi="宋体"/>
                <w:color w:val="auto"/>
                <w:sz w:val="24"/>
              </w:rPr>
            </w:pPr>
            <w:r>
              <w:rPr>
                <w:rFonts w:hint="eastAsia" w:ascii="宋体" w:hAnsi="宋体"/>
                <w:color w:val="auto"/>
                <w:sz w:val="24"/>
              </w:rPr>
              <w:t>4</w:t>
            </w:r>
          </w:p>
        </w:tc>
        <w:tc>
          <w:tcPr>
            <w:tcW w:w="4522" w:type="dxa"/>
          </w:tcPr>
          <w:p w14:paraId="7C7FF411">
            <w:pPr>
              <w:spacing w:line="300" w:lineRule="auto"/>
              <w:jc w:val="left"/>
              <w:rPr>
                <w:rFonts w:hint="default" w:eastAsia="宋体"/>
                <w:color w:val="auto"/>
                <w:sz w:val="24"/>
                <w:lang w:val="en-US" w:eastAsia="zh-CN"/>
              </w:rPr>
            </w:pPr>
            <w:r>
              <w:rPr>
                <w:rFonts w:hint="eastAsia"/>
                <w:color w:val="auto"/>
                <w:sz w:val="24"/>
              </w:rPr>
              <w:t>参加学院主办的作品征集活动，提交作品即加分</w:t>
            </w:r>
            <w:r>
              <w:rPr>
                <w:rFonts w:hint="eastAsia"/>
                <w:color w:val="auto"/>
                <w:sz w:val="24"/>
                <w:lang w:eastAsia="zh-CN"/>
              </w:rPr>
              <w:t>。</w:t>
            </w:r>
            <w:r>
              <w:rPr>
                <w:rFonts w:hint="eastAsia"/>
                <w:color w:val="auto"/>
                <w:sz w:val="24"/>
                <w:lang w:val="en-US" w:eastAsia="zh-CN"/>
              </w:rPr>
              <w:t>网络文化节作品征集、我眼中的新生文化季征文、</w:t>
            </w:r>
          </w:p>
        </w:tc>
        <w:tc>
          <w:tcPr>
            <w:tcW w:w="645" w:type="dxa"/>
          </w:tcPr>
          <w:p w14:paraId="56CBCDF7">
            <w:pPr>
              <w:spacing w:line="300" w:lineRule="auto"/>
              <w:rPr>
                <w:rFonts w:ascii="宋体" w:hAnsi="宋体"/>
                <w:color w:val="auto"/>
                <w:sz w:val="24"/>
              </w:rPr>
            </w:pPr>
            <w:r>
              <w:rPr>
                <w:rFonts w:ascii="宋体" w:hAnsi="宋体"/>
                <w:color w:val="auto"/>
                <w:sz w:val="24"/>
              </w:rPr>
              <w:t>3</w:t>
            </w:r>
            <w:r>
              <w:rPr>
                <w:rFonts w:hint="eastAsia" w:ascii="宋体" w:hAnsi="宋体"/>
                <w:color w:val="auto"/>
                <w:sz w:val="24"/>
              </w:rPr>
              <w:t>分</w:t>
            </w:r>
          </w:p>
        </w:tc>
        <w:tc>
          <w:tcPr>
            <w:tcW w:w="3338" w:type="dxa"/>
          </w:tcPr>
          <w:p w14:paraId="04D371D6">
            <w:pPr>
              <w:spacing w:line="300" w:lineRule="auto"/>
              <w:jc w:val="left"/>
              <w:rPr>
                <w:rFonts w:hint="default" w:eastAsia="宋体"/>
                <w:color w:val="auto"/>
                <w:sz w:val="20"/>
                <w:lang w:val="en-US" w:eastAsia="zh-CN"/>
              </w:rPr>
            </w:pPr>
            <w:r>
              <w:rPr>
                <w:rFonts w:hint="eastAsia"/>
                <w:color w:val="auto"/>
                <w:sz w:val="20"/>
              </w:rPr>
              <w:t>获一等奖另加</w:t>
            </w:r>
            <w:r>
              <w:rPr>
                <w:color w:val="auto"/>
                <w:sz w:val="20"/>
              </w:rPr>
              <w:t>2</w:t>
            </w:r>
            <w:r>
              <w:rPr>
                <w:rFonts w:hint="eastAsia"/>
                <w:color w:val="auto"/>
                <w:sz w:val="20"/>
              </w:rPr>
              <w:t>分，获二等奖另加</w:t>
            </w:r>
            <w:r>
              <w:rPr>
                <w:color w:val="auto"/>
                <w:sz w:val="20"/>
              </w:rPr>
              <w:t>1</w:t>
            </w:r>
            <w:r>
              <w:rPr>
                <w:rFonts w:hint="eastAsia"/>
                <w:color w:val="auto"/>
                <w:sz w:val="20"/>
              </w:rPr>
              <w:t>，获三等奖再加</w:t>
            </w:r>
            <w:r>
              <w:rPr>
                <w:color w:val="auto"/>
                <w:sz w:val="20"/>
              </w:rPr>
              <w:t>0.5</w:t>
            </w:r>
            <w:r>
              <w:rPr>
                <w:rFonts w:hint="eastAsia"/>
                <w:color w:val="auto"/>
                <w:sz w:val="20"/>
              </w:rPr>
              <w:t>，获优秀奖另加</w:t>
            </w:r>
            <w:r>
              <w:rPr>
                <w:color w:val="auto"/>
                <w:sz w:val="20"/>
              </w:rPr>
              <w:t>0.3</w:t>
            </w:r>
            <w:r>
              <w:rPr>
                <w:rFonts w:hint="eastAsia"/>
                <w:color w:val="auto"/>
                <w:sz w:val="20"/>
              </w:rPr>
              <w:t>。</w:t>
            </w:r>
            <w:r>
              <w:rPr>
                <w:rFonts w:hint="eastAsia"/>
                <w:color w:val="auto"/>
                <w:sz w:val="20"/>
                <w:lang w:val="en-US" w:eastAsia="zh-CN"/>
              </w:rPr>
              <w:t>最高不超15分。</w:t>
            </w:r>
          </w:p>
        </w:tc>
      </w:tr>
      <w:tr w14:paraId="177F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10" w:type="dxa"/>
          </w:tcPr>
          <w:p w14:paraId="59A1C40A">
            <w:pPr>
              <w:spacing w:line="300" w:lineRule="auto"/>
              <w:jc w:val="center"/>
              <w:rPr>
                <w:rFonts w:ascii="宋体" w:hAnsi="宋体"/>
                <w:color w:val="auto"/>
                <w:sz w:val="24"/>
              </w:rPr>
            </w:pPr>
            <w:r>
              <w:rPr>
                <w:rFonts w:hint="eastAsia" w:ascii="宋体" w:hAnsi="宋体"/>
                <w:color w:val="auto"/>
                <w:sz w:val="24"/>
              </w:rPr>
              <w:t>5</w:t>
            </w:r>
          </w:p>
        </w:tc>
        <w:tc>
          <w:tcPr>
            <w:tcW w:w="4522" w:type="dxa"/>
          </w:tcPr>
          <w:p w14:paraId="5F0EC41C">
            <w:pPr>
              <w:spacing w:line="300" w:lineRule="auto"/>
              <w:jc w:val="left"/>
              <w:rPr>
                <w:color w:val="auto"/>
                <w:sz w:val="24"/>
              </w:rPr>
            </w:pPr>
            <w:r>
              <w:rPr>
                <w:rFonts w:hint="eastAsia"/>
                <w:color w:val="auto"/>
                <w:sz w:val="24"/>
              </w:rPr>
              <w:t>校球类联赛、校</w:t>
            </w:r>
            <w:r>
              <w:rPr>
                <w:color w:val="auto"/>
                <w:sz w:val="24"/>
              </w:rPr>
              <w:t>/</w:t>
            </w:r>
            <w:r>
              <w:rPr>
                <w:rFonts w:hint="eastAsia"/>
                <w:color w:val="auto"/>
                <w:sz w:val="24"/>
              </w:rPr>
              <w:t>院运动会、校</w:t>
            </w:r>
            <w:r>
              <w:rPr>
                <w:color w:val="auto"/>
                <w:sz w:val="24"/>
              </w:rPr>
              <w:t>/</w:t>
            </w:r>
            <w:r>
              <w:rPr>
                <w:rFonts w:hint="eastAsia"/>
                <w:color w:val="auto"/>
                <w:sz w:val="24"/>
              </w:rPr>
              <w:t>院趣味运动会。</w:t>
            </w:r>
          </w:p>
        </w:tc>
        <w:tc>
          <w:tcPr>
            <w:tcW w:w="645" w:type="dxa"/>
          </w:tcPr>
          <w:p w14:paraId="173B1E11">
            <w:pPr>
              <w:spacing w:line="300" w:lineRule="auto"/>
              <w:rPr>
                <w:rFonts w:ascii="宋体" w:hAnsi="宋体"/>
                <w:color w:val="auto"/>
                <w:sz w:val="24"/>
              </w:rPr>
            </w:pPr>
            <w:r>
              <w:rPr>
                <w:rFonts w:ascii="宋体" w:hAnsi="宋体"/>
                <w:color w:val="auto"/>
                <w:sz w:val="24"/>
              </w:rPr>
              <w:t>2</w:t>
            </w:r>
            <w:r>
              <w:rPr>
                <w:rFonts w:hint="eastAsia" w:ascii="宋体" w:hAnsi="宋体"/>
                <w:color w:val="auto"/>
                <w:sz w:val="24"/>
              </w:rPr>
              <w:t>分</w:t>
            </w:r>
          </w:p>
        </w:tc>
        <w:tc>
          <w:tcPr>
            <w:tcW w:w="3338" w:type="dxa"/>
          </w:tcPr>
          <w:p w14:paraId="0E0AC668">
            <w:pPr>
              <w:spacing w:line="300" w:lineRule="auto"/>
              <w:jc w:val="left"/>
              <w:rPr>
                <w:rFonts w:hint="eastAsia"/>
                <w:color w:val="auto"/>
              </w:rPr>
            </w:pPr>
            <w:r>
              <w:rPr>
                <w:rFonts w:hint="eastAsia"/>
                <w:color w:val="auto"/>
              </w:rPr>
              <w:t>由体育部长上报参赛队员名单。</w:t>
            </w:r>
          </w:p>
          <w:p w14:paraId="593F3A51">
            <w:pPr>
              <w:spacing w:line="300" w:lineRule="auto"/>
              <w:jc w:val="left"/>
              <w:rPr>
                <w:rFonts w:hint="default" w:eastAsia="宋体"/>
                <w:color w:val="auto"/>
                <w:sz w:val="24"/>
                <w:lang w:val="en-US" w:eastAsia="zh-CN"/>
              </w:rPr>
            </w:pPr>
            <w:r>
              <w:rPr>
                <w:rFonts w:hint="eastAsia"/>
                <w:color w:val="auto"/>
                <w:lang w:val="en-US" w:eastAsia="zh-CN"/>
              </w:rPr>
              <w:t>最高不超10分。</w:t>
            </w:r>
          </w:p>
        </w:tc>
      </w:tr>
      <w:tr w14:paraId="2C4D6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710" w:type="dxa"/>
          </w:tcPr>
          <w:p w14:paraId="2EF708B8">
            <w:pPr>
              <w:spacing w:line="300" w:lineRule="auto"/>
              <w:jc w:val="center"/>
              <w:rPr>
                <w:rFonts w:ascii="宋体" w:hAnsi="宋体"/>
                <w:color w:val="auto"/>
                <w:sz w:val="24"/>
              </w:rPr>
            </w:pPr>
            <w:r>
              <w:rPr>
                <w:rFonts w:hint="eastAsia" w:ascii="宋体" w:hAnsi="宋体"/>
                <w:color w:val="auto"/>
                <w:sz w:val="24"/>
              </w:rPr>
              <w:t>6</w:t>
            </w:r>
          </w:p>
        </w:tc>
        <w:tc>
          <w:tcPr>
            <w:tcW w:w="4522" w:type="dxa"/>
          </w:tcPr>
          <w:p w14:paraId="51BB522E">
            <w:pPr>
              <w:spacing w:line="300" w:lineRule="auto"/>
              <w:jc w:val="left"/>
              <w:rPr>
                <w:rFonts w:hint="eastAsia" w:eastAsia="宋体"/>
                <w:color w:val="auto"/>
                <w:sz w:val="24"/>
                <w:lang w:eastAsia="zh-CN"/>
              </w:rPr>
            </w:pPr>
            <w:r>
              <w:rPr>
                <w:rFonts w:hint="eastAsia"/>
                <w:color w:val="auto"/>
                <w:sz w:val="24"/>
              </w:rPr>
              <w:t>校庆论文投稿未录用、学院媒体文稿被录用（新媒体部门成员、各</w:t>
            </w:r>
            <w:r>
              <w:rPr>
                <w:color w:val="auto"/>
                <w:sz w:val="24"/>
              </w:rPr>
              <w:t>学生组织</w:t>
            </w:r>
            <w:r>
              <w:rPr>
                <w:rFonts w:hint="eastAsia"/>
                <w:color w:val="auto"/>
                <w:sz w:val="24"/>
              </w:rPr>
              <w:t>每学期每人活动</w:t>
            </w:r>
            <w:r>
              <w:rPr>
                <w:color w:val="auto"/>
                <w:sz w:val="24"/>
              </w:rPr>
              <w:t>制作5</w:t>
            </w:r>
            <w:r>
              <w:rPr>
                <w:rFonts w:hint="eastAsia"/>
                <w:color w:val="auto"/>
                <w:sz w:val="24"/>
                <w:lang w:val="en-US" w:eastAsia="zh-CN"/>
              </w:rPr>
              <w:t>-10</w:t>
            </w:r>
            <w:r>
              <w:rPr>
                <w:rFonts w:hint="eastAsia"/>
                <w:color w:val="auto"/>
                <w:sz w:val="24"/>
              </w:rPr>
              <w:t>篇以上或</w:t>
            </w:r>
            <w:r>
              <w:rPr>
                <w:color w:val="auto"/>
                <w:sz w:val="24"/>
              </w:rPr>
              <w:t>排版</w:t>
            </w:r>
            <w:r>
              <w:rPr>
                <w:rFonts w:hint="eastAsia"/>
                <w:color w:val="auto"/>
                <w:sz w:val="24"/>
              </w:rPr>
              <w:t>10</w:t>
            </w:r>
            <w:r>
              <w:rPr>
                <w:rFonts w:hint="eastAsia"/>
                <w:color w:val="auto"/>
                <w:sz w:val="24"/>
                <w:lang w:val="en-US" w:eastAsia="zh-CN"/>
              </w:rPr>
              <w:t>-15</w:t>
            </w:r>
            <w:r>
              <w:rPr>
                <w:rFonts w:hint="eastAsia"/>
                <w:color w:val="auto"/>
                <w:sz w:val="24"/>
              </w:rPr>
              <w:t>篇以上</w:t>
            </w:r>
            <w:r>
              <w:rPr>
                <w:rFonts w:hint="eastAsia"/>
                <w:color w:val="auto"/>
                <w:sz w:val="24"/>
                <w:lang w:val="en-US" w:eastAsia="zh-CN"/>
              </w:rPr>
              <w:t>可另外</w:t>
            </w:r>
            <w:r>
              <w:rPr>
                <w:rFonts w:hint="eastAsia"/>
                <w:color w:val="auto"/>
                <w:sz w:val="24"/>
              </w:rPr>
              <w:t>计分）</w:t>
            </w:r>
            <w:r>
              <w:rPr>
                <w:rFonts w:hint="eastAsia"/>
                <w:color w:val="auto"/>
                <w:sz w:val="24"/>
                <w:lang w:eastAsia="zh-CN"/>
              </w:rPr>
              <w:t>。</w:t>
            </w:r>
          </w:p>
        </w:tc>
        <w:tc>
          <w:tcPr>
            <w:tcW w:w="645" w:type="dxa"/>
          </w:tcPr>
          <w:p w14:paraId="0B28108B">
            <w:pPr>
              <w:spacing w:line="300" w:lineRule="auto"/>
              <w:rPr>
                <w:rFonts w:ascii="宋体" w:hAnsi="宋体"/>
                <w:color w:val="auto"/>
                <w:sz w:val="24"/>
              </w:rPr>
            </w:pPr>
            <w:r>
              <w:rPr>
                <w:rFonts w:ascii="宋体" w:hAnsi="宋体"/>
                <w:color w:val="auto"/>
                <w:sz w:val="24"/>
              </w:rPr>
              <w:t>2</w:t>
            </w:r>
            <w:r>
              <w:rPr>
                <w:rFonts w:hint="eastAsia" w:ascii="宋体" w:hAnsi="宋体"/>
                <w:color w:val="auto"/>
                <w:sz w:val="24"/>
              </w:rPr>
              <w:t>分</w:t>
            </w:r>
          </w:p>
        </w:tc>
        <w:tc>
          <w:tcPr>
            <w:tcW w:w="3338" w:type="dxa"/>
          </w:tcPr>
          <w:p w14:paraId="137F07DD">
            <w:pPr>
              <w:numPr>
                <w:ilvl w:val="0"/>
                <w:numId w:val="1"/>
              </w:numPr>
              <w:spacing w:line="300" w:lineRule="auto"/>
              <w:jc w:val="left"/>
              <w:rPr>
                <w:rFonts w:hint="eastAsia"/>
                <w:color w:val="auto"/>
                <w:sz w:val="18"/>
              </w:rPr>
            </w:pPr>
            <w:r>
              <w:rPr>
                <w:rFonts w:hint="eastAsia"/>
                <w:color w:val="auto"/>
                <w:sz w:val="18"/>
              </w:rPr>
              <w:t>校庆论文投稿得分在75分以上，由学术部部长提供名单。</w:t>
            </w:r>
          </w:p>
          <w:p w14:paraId="34C497CA">
            <w:pPr>
              <w:numPr>
                <w:ilvl w:val="0"/>
                <w:numId w:val="1"/>
              </w:numPr>
              <w:spacing w:line="300" w:lineRule="auto"/>
              <w:jc w:val="left"/>
              <w:rPr>
                <w:rFonts w:hint="eastAsia"/>
                <w:color w:val="auto"/>
                <w:sz w:val="18"/>
              </w:rPr>
            </w:pPr>
            <w:r>
              <w:rPr>
                <w:rFonts w:hint="eastAsia"/>
                <w:color w:val="auto"/>
                <w:lang w:val="en-US" w:eastAsia="zh-CN"/>
              </w:rPr>
              <w:t>新媒体计分</w:t>
            </w:r>
            <w:r>
              <w:rPr>
                <w:rFonts w:hint="eastAsia"/>
                <w:color w:val="auto"/>
              </w:rPr>
              <w:t>最高</w:t>
            </w:r>
            <w:r>
              <w:rPr>
                <w:color w:val="auto"/>
              </w:rPr>
              <w:t>不</w:t>
            </w:r>
            <w:r>
              <w:rPr>
                <w:rFonts w:hint="eastAsia"/>
                <w:color w:val="auto"/>
              </w:rPr>
              <w:t>超过</w:t>
            </w:r>
            <w:r>
              <w:rPr>
                <w:rFonts w:hint="eastAsia"/>
                <w:color w:val="auto"/>
                <w:lang w:val="en-US" w:eastAsia="zh-CN"/>
              </w:rPr>
              <w:t>8</w:t>
            </w:r>
            <w:r>
              <w:rPr>
                <w:rFonts w:hint="eastAsia"/>
                <w:color w:val="auto"/>
              </w:rPr>
              <w:t>分</w:t>
            </w:r>
            <w:r>
              <w:rPr>
                <w:color w:val="auto"/>
              </w:rPr>
              <w:t>。</w:t>
            </w:r>
          </w:p>
        </w:tc>
      </w:tr>
      <w:tr w14:paraId="4A49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710" w:type="dxa"/>
          </w:tcPr>
          <w:p w14:paraId="41AB7E89">
            <w:pPr>
              <w:spacing w:line="300" w:lineRule="auto"/>
              <w:jc w:val="center"/>
              <w:rPr>
                <w:rFonts w:hint="eastAsia" w:ascii="宋体" w:hAnsi="宋体" w:eastAsia="宋体"/>
                <w:color w:val="auto"/>
                <w:sz w:val="24"/>
                <w:lang w:eastAsia="zh-CN"/>
              </w:rPr>
            </w:pPr>
            <w:r>
              <w:rPr>
                <w:rFonts w:hint="eastAsia" w:ascii="宋体" w:hAnsi="宋体"/>
                <w:color w:val="auto"/>
                <w:sz w:val="24"/>
                <w:lang w:val="en-US" w:eastAsia="zh-CN"/>
              </w:rPr>
              <w:t>7</w:t>
            </w:r>
          </w:p>
        </w:tc>
        <w:tc>
          <w:tcPr>
            <w:tcW w:w="4522" w:type="dxa"/>
          </w:tcPr>
          <w:p w14:paraId="05CDC9B5">
            <w:pPr>
              <w:spacing w:line="300" w:lineRule="auto"/>
              <w:jc w:val="left"/>
              <w:rPr>
                <w:color w:val="auto"/>
                <w:sz w:val="24"/>
              </w:rPr>
            </w:pPr>
            <w:r>
              <w:rPr>
                <w:rFonts w:hint="eastAsia"/>
                <w:color w:val="auto"/>
                <w:sz w:val="24"/>
              </w:rPr>
              <w:t>新媒体宣传过程中，制作微信推送被东大青年说</w:t>
            </w:r>
            <w:r>
              <w:rPr>
                <w:rFonts w:hint="eastAsia"/>
                <w:color w:val="auto"/>
                <w:sz w:val="24"/>
                <w:lang w:val="en-US" w:eastAsia="zh-CN"/>
              </w:rPr>
              <w:t>等校级及以上媒体</w:t>
            </w:r>
            <w:r>
              <w:rPr>
                <w:rFonts w:hint="eastAsia"/>
                <w:color w:val="auto"/>
                <w:sz w:val="24"/>
              </w:rPr>
              <w:t>录用。</w:t>
            </w:r>
          </w:p>
        </w:tc>
        <w:tc>
          <w:tcPr>
            <w:tcW w:w="645" w:type="dxa"/>
          </w:tcPr>
          <w:p w14:paraId="71592B13">
            <w:pPr>
              <w:spacing w:line="300" w:lineRule="auto"/>
              <w:rPr>
                <w:rFonts w:ascii="宋体" w:hAnsi="宋体"/>
                <w:color w:val="auto"/>
                <w:sz w:val="24"/>
              </w:rPr>
            </w:pPr>
            <w:r>
              <w:rPr>
                <w:rFonts w:ascii="宋体" w:hAnsi="宋体"/>
                <w:color w:val="auto"/>
                <w:sz w:val="24"/>
              </w:rPr>
              <w:t>2</w:t>
            </w:r>
            <w:r>
              <w:rPr>
                <w:rFonts w:hint="eastAsia" w:ascii="宋体" w:hAnsi="宋体"/>
                <w:color w:val="auto"/>
                <w:sz w:val="24"/>
              </w:rPr>
              <w:t>分</w:t>
            </w:r>
          </w:p>
        </w:tc>
        <w:tc>
          <w:tcPr>
            <w:tcW w:w="3338" w:type="dxa"/>
          </w:tcPr>
          <w:p w14:paraId="7C4B9899">
            <w:pPr>
              <w:spacing w:line="300" w:lineRule="auto"/>
              <w:jc w:val="left"/>
              <w:rPr>
                <w:color w:val="auto"/>
              </w:rPr>
            </w:pPr>
            <w:r>
              <w:rPr>
                <w:rFonts w:hint="eastAsia"/>
                <w:color w:val="auto"/>
              </w:rPr>
              <w:t>阅读浏览量超过10000+，另加</w:t>
            </w:r>
            <w:r>
              <w:rPr>
                <w:color w:val="auto"/>
              </w:rPr>
              <w:t>5</w:t>
            </w:r>
            <w:r>
              <w:rPr>
                <w:rFonts w:hint="eastAsia"/>
                <w:color w:val="auto"/>
              </w:rPr>
              <w:t>分。由当年度任职的新媒体部长出具证明。最高</w:t>
            </w:r>
            <w:r>
              <w:rPr>
                <w:color w:val="auto"/>
              </w:rPr>
              <w:t>不</w:t>
            </w:r>
            <w:r>
              <w:rPr>
                <w:rFonts w:hint="eastAsia"/>
                <w:color w:val="auto"/>
              </w:rPr>
              <w:t>超过</w:t>
            </w:r>
            <w:r>
              <w:rPr>
                <w:rFonts w:hint="eastAsia"/>
                <w:color w:val="auto"/>
                <w:lang w:val="en-US" w:eastAsia="zh-CN"/>
              </w:rPr>
              <w:t>1</w:t>
            </w:r>
            <w:r>
              <w:rPr>
                <w:rFonts w:hint="eastAsia"/>
                <w:color w:val="auto"/>
              </w:rPr>
              <w:t>0分</w:t>
            </w:r>
            <w:r>
              <w:rPr>
                <w:color w:val="auto"/>
              </w:rPr>
              <w:t>。</w:t>
            </w:r>
          </w:p>
        </w:tc>
      </w:tr>
      <w:tr w14:paraId="385C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10" w:type="dxa"/>
          </w:tcPr>
          <w:p w14:paraId="34B0BE3F">
            <w:pPr>
              <w:spacing w:line="300" w:lineRule="auto"/>
              <w:jc w:val="center"/>
              <w:rPr>
                <w:rFonts w:hint="eastAsia" w:ascii="宋体" w:hAnsi="宋体" w:eastAsia="宋体"/>
                <w:color w:val="auto"/>
                <w:sz w:val="24"/>
                <w:lang w:eastAsia="zh-CN"/>
              </w:rPr>
            </w:pPr>
            <w:r>
              <w:rPr>
                <w:rFonts w:hint="eastAsia" w:ascii="宋体" w:hAnsi="宋体"/>
                <w:color w:val="auto"/>
                <w:sz w:val="24"/>
                <w:lang w:val="en-US" w:eastAsia="zh-CN"/>
              </w:rPr>
              <w:t>8</w:t>
            </w:r>
          </w:p>
        </w:tc>
        <w:tc>
          <w:tcPr>
            <w:tcW w:w="4522" w:type="dxa"/>
          </w:tcPr>
          <w:p w14:paraId="2B598AEE">
            <w:pPr>
              <w:spacing w:line="300" w:lineRule="auto"/>
              <w:jc w:val="left"/>
              <w:rPr>
                <w:rFonts w:hint="eastAsia" w:eastAsia="宋体"/>
                <w:color w:val="auto"/>
                <w:sz w:val="24"/>
                <w:lang w:eastAsia="zh-CN"/>
              </w:rPr>
            </w:pPr>
            <w:r>
              <w:rPr>
                <w:color w:val="auto"/>
                <w:sz w:val="24"/>
              </w:rPr>
              <w:t>参与志愿服务时长超过</w:t>
            </w:r>
            <w:r>
              <w:rPr>
                <w:rFonts w:hint="eastAsia"/>
                <w:color w:val="auto"/>
                <w:sz w:val="24"/>
              </w:rPr>
              <w:t>6</w:t>
            </w:r>
            <w:r>
              <w:rPr>
                <w:color w:val="auto"/>
                <w:sz w:val="24"/>
              </w:rPr>
              <w:t>0</w:t>
            </w:r>
            <w:r>
              <w:rPr>
                <w:rFonts w:hint="eastAsia"/>
                <w:color w:val="auto"/>
                <w:sz w:val="24"/>
              </w:rPr>
              <w:t>小时</w:t>
            </w:r>
            <w:r>
              <w:rPr>
                <w:rFonts w:hint="eastAsia"/>
                <w:color w:val="auto"/>
                <w:sz w:val="24"/>
                <w:lang w:eastAsia="zh-CN"/>
              </w:rPr>
              <w:t>。</w:t>
            </w:r>
          </w:p>
        </w:tc>
        <w:tc>
          <w:tcPr>
            <w:tcW w:w="645" w:type="dxa"/>
          </w:tcPr>
          <w:p w14:paraId="639D5726">
            <w:pPr>
              <w:spacing w:line="300" w:lineRule="auto"/>
              <w:rPr>
                <w:rFonts w:ascii="宋体" w:hAnsi="宋体"/>
                <w:color w:val="auto"/>
                <w:sz w:val="24"/>
              </w:rPr>
            </w:pPr>
            <w:r>
              <w:rPr>
                <w:rFonts w:hint="eastAsia" w:ascii="宋体" w:hAnsi="宋体"/>
                <w:color w:val="auto"/>
                <w:sz w:val="24"/>
              </w:rPr>
              <w:t>2分</w:t>
            </w:r>
          </w:p>
        </w:tc>
        <w:tc>
          <w:tcPr>
            <w:tcW w:w="3338" w:type="dxa"/>
          </w:tcPr>
          <w:p w14:paraId="6900D305">
            <w:pPr>
              <w:spacing w:line="300" w:lineRule="auto"/>
              <w:jc w:val="left"/>
              <w:rPr>
                <w:color w:val="auto"/>
              </w:rPr>
            </w:pPr>
            <w:r>
              <w:rPr>
                <w:rFonts w:hint="eastAsia"/>
                <w:color w:val="auto"/>
              </w:rPr>
              <w:t>按照</w:t>
            </w:r>
            <w:r>
              <w:rPr>
                <w:color w:val="auto"/>
              </w:rPr>
              <w:t>第二课堂</w:t>
            </w:r>
            <w:r>
              <w:rPr>
                <w:rFonts w:hint="eastAsia"/>
                <w:color w:val="auto"/>
              </w:rPr>
              <w:t>系统</w:t>
            </w:r>
            <w:r>
              <w:rPr>
                <w:color w:val="auto"/>
              </w:rPr>
              <w:t>中的数据计算</w:t>
            </w:r>
            <w:r>
              <w:rPr>
                <w:rFonts w:hint="eastAsia"/>
                <w:color w:val="auto"/>
              </w:rPr>
              <w:t>。</w:t>
            </w:r>
          </w:p>
        </w:tc>
      </w:tr>
    </w:tbl>
    <w:p w14:paraId="2CA0D064">
      <w:pPr>
        <w:spacing w:line="360" w:lineRule="auto"/>
        <w:rPr>
          <w:rFonts w:ascii="仿宋_GB2312" w:eastAsia="仿宋_GB2312"/>
          <w:b/>
          <w:color w:val="auto"/>
          <w:sz w:val="32"/>
        </w:rPr>
      </w:pPr>
      <w:r>
        <w:rPr>
          <w:rFonts w:hint="eastAsia" w:ascii="仿宋_GB2312" w:eastAsia="仿宋_GB2312"/>
          <w:b/>
          <w:color w:val="auto"/>
          <w:sz w:val="32"/>
          <w:lang w:val="en-US" w:eastAsia="zh-CN"/>
        </w:rPr>
        <w:t>六</w:t>
      </w:r>
      <w:r>
        <w:rPr>
          <w:rFonts w:hint="eastAsia" w:ascii="仿宋_GB2312" w:eastAsia="仿宋_GB2312"/>
          <w:b/>
          <w:color w:val="auto"/>
          <w:sz w:val="32"/>
        </w:rPr>
        <w:t>、校纪</w:t>
      </w:r>
      <w:r>
        <w:rPr>
          <w:rFonts w:ascii="仿宋_GB2312" w:eastAsia="仿宋_GB2312"/>
          <w:b/>
          <w:color w:val="auto"/>
          <w:sz w:val="32"/>
        </w:rPr>
        <w:t>院规遵守情况</w:t>
      </w:r>
      <w:r>
        <w:rPr>
          <w:rFonts w:hint="eastAsia" w:ascii="仿宋_GB2312" w:eastAsia="仿宋_GB2312"/>
          <w:b/>
          <w:color w:val="auto"/>
          <w:sz w:val="32"/>
        </w:rPr>
        <w:t>计分</w:t>
      </w:r>
    </w:p>
    <w:p w14:paraId="58DFDCE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color w:val="auto"/>
          <w:sz w:val="24"/>
        </w:rPr>
      </w:pPr>
      <w:r>
        <w:rPr>
          <w:rFonts w:hint="eastAsia"/>
          <w:color w:val="auto"/>
          <w:sz w:val="24"/>
        </w:rPr>
        <w:t>学校和</w:t>
      </w:r>
      <w:r>
        <w:rPr>
          <w:color w:val="auto"/>
          <w:sz w:val="24"/>
        </w:rPr>
        <w:t>学院的管理政策是</w:t>
      </w:r>
      <w:r>
        <w:rPr>
          <w:rFonts w:hint="eastAsia"/>
          <w:color w:val="auto"/>
          <w:sz w:val="24"/>
        </w:rPr>
        <w:t>每位</w:t>
      </w:r>
      <w:r>
        <w:rPr>
          <w:color w:val="auto"/>
          <w:sz w:val="24"/>
        </w:rPr>
        <w:t>同学都应严格遵守的，如有违反情况，将在评奖评优总分基础上进行扣分，</w:t>
      </w:r>
      <w:r>
        <w:rPr>
          <w:rFonts w:hint="eastAsia"/>
          <w:color w:val="auto"/>
          <w:sz w:val="24"/>
        </w:rPr>
        <w:t>具体</w:t>
      </w:r>
      <w:r>
        <w:rPr>
          <w:color w:val="auto"/>
          <w:sz w:val="24"/>
        </w:rPr>
        <w:t>情况如下：</w:t>
      </w:r>
    </w:p>
    <w:p w14:paraId="4901BBF1">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color w:val="auto"/>
          <w:sz w:val="24"/>
        </w:rPr>
      </w:pPr>
      <w:r>
        <w:rPr>
          <w:rFonts w:hint="eastAsia"/>
          <w:color w:val="auto"/>
          <w:sz w:val="24"/>
        </w:rPr>
        <w:t>（</w:t>
      </w:r>
      <w:r>
        <w:rPr>
          <w:color w:val="auto"/>
          <w:sz w:val="24"/>
        </w:rPr>
        <w:t>1</w:t>
      </w:r>
      <w:r>
        <w:rPr>
          <w:rFonts w:hint="eastAsia"/>
          <w:color w:val="auto"/>
          <w:sz w:val="24"/>
        </w:rPr>
        <w:t>）每次假期返校，不按时返校且不办理请假手续的，所有评奖</w:t>
      </w:r>
      <w:r>
        <w:rPr>
          <w:color w:val="auto"/>
          <w:sz w:val="24"/>
        </w:rPr>
        <w:t>评优</w:t>
      </w:r>
      <w:r>
        <w:rPr>
          <w:rFonts w:hint="eastAsia"/>
          <w:color w:val="auto"/>
          <w:sz w:val="24"/>
        </w:rPr>
        <w:t>中</w:t>
      </w:r>
      <w:r>
        <w:rPr>
          <w:color w:val="auto"/>
          <w:sz w:val="24"/>
        </w:rPr>
        <w:t>违反</w:t>
      </w:r>
      <w:r>
        <w:rPr>
          <w:rFonts w:hint="eastAsia"/>
          <w:color w:val="auto"/>
          <w:sz w:val="24"/>
        </w:rPr>
        <w:t>1次减</w:t>
      </w:r>
      <w:r>
        <w:rPr>
          <w:color w:val="auto"/>
          <w:sz w:val="24"/>
        </w:rPr>
        <w:t>10</w:t>
      </w:r>
      <w:r>
        <w:rPr>
          <w:rFonts w:hint="eastAsia"/>
          <w:color w:val="auto"/>
          <w:sz w:val="24"/>
        </w:rPr>
        <w:t>分，依次累计</w:t>
      </w:r>
      <w:r>
        <w:rPr>
          <w:color w:val="auto"/>
          <w:sz w:val="24"/>
        </w:rPr>
        <w:t>，</w:t>
      </w:r>
      <w:r>
        <w:rPr>
          <w:rFonts w:hint="eastAsia"/>
          <w:color w:val="auto"/>
          <w:sz w:val="24"/>
        </w:rPr>
        <w:t>超过</w:t>
      </w:r>
      <w:r>
        <w:rPr>
          <w:color w:val="auto"/>
          <w:sz w:val="24"/>
        </w:rPr>
        <w:t>三次</w:t>
      </w:r>
      <w:r>
        <w:rPr>
          <w:rFonts w:hint="eastAsia"/>
          <w:color w:val="auto"/>
          <w:sz w:val="24"/>
          <w:lang w:eastAsia="zh-CN"/>
        </w:rPr>
        <w:t>，</w:t>
      </w:r>
      <w:r>
        <w:rPr>
          <w:color w:val="auto"/>
          <w:sz w:val="24"/>
        </w:rPr>
        <w:t>取消</w:t>
      </w:r>
      <w:r>
        <w:rPr>
          <w:rFonts w:hint="eastAsia"/>
          <w:color w:val="auto"/>
          <w:sz w:val="24"/>
        </w:rPr>
        <w:t>其</w:t>
      </w:r>
      <w:r>
        <w:rPr>
          <w:color w:val="auto"/>
          <w:sz w:val="24"/>
        </w:rPr>
        <w:t>评优资格</w:t>
      </w:r>
      <w:r>
        <w:rPr>
          <w:rFonts w:hint="eastAsia"/>
          <w:color w:val="auto"/>
          <w:sz w:val="24"/>
        </w:rPr>
        <w:t>；</w:t>
      </w:r>
    </w:p>
    <w:p w14:paraId="36DB5E1F">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color w:val="auto"/>
          <w:sz w:val="24"/>
        </w:rPr>
      </w:pPr>
      <w:r>
        <w:rPr>
          <w:rFonts w:hint="eastAsia"/>
          <w:color w:val="auto"/>
          <w:sz w:val="24"/>
        </w:rPr>
        <w:t>（</w:t>
      </w:r>
      <w:r>
        <w:rPr>
          <w:color w:val="auto"/>
          <w:sz w:val="24"/>
        </w:rPr>
        <w:t>2</w:t>
      </w:r>
      <w:r>
        <w:rPr>
          <w:rFonts w:hint="eastAsia"/>
          <w:color w:val="auto"/>
          <w:sz w:val="24"/>
        </w:rPr>
        <w:t>）有</w:t>
      </w:r>
      <w:r>
        <w:rPr>
          <w:color w:val="auto"/>
          <w:sz w:val="24"/>
        </w:rPr>
        <w:t>院系通报批评及以上校纪校规处分的，取消</w:t>
      </w:r>
      <w:r>
        <w:rPr>
          <w:rFonts w:hint="eastAsia"/>
          <w:color w:val="auto"/>
          <w:sz w:val="24"/>
        </w:rPr>
        <w:t>其</w:t>
      </w:r>
      <w:r>
        <w:rPr>
          <w:color w:val="auto"/>
          <w:sz w:val="24"/>
        </w:rPr>
        <w:t>评优资格</w:t>
      </w:r>
      <w:r>
        <w:rPr>
          <w:rFonts w:hint="eastAsia"/>
          <w:color w:val="auto"/>
          <w:sz w:val="24"/>
        </w:rPr>
        <w:t>；</w:t>
      </w:r>
    </w:p>
    <w:p w14:paraId="7780BE9D">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color w:val="auto"/>
          <w:sz w:val="24"/>
        </w:rPr>
      </w:pPr>
      <w:r>
        <w:rPr>
          <w:rFonts w:hint="eastAsia"/>
          <w:color w:val="auto"/>
          <w:sz w:val="24"/>
        </w:rPr>
        <w:t>（3））在宿舍使用违章电器，一经发现，取消</w:t>
      </w:r>
      <w:r>
        <w:rPr>
          <w:rFonts w:hint="eastAsia"/>
          <w:color w:val="auto"/>
          <w:sz w:val="24"/>
          <w:lang w:val="en-US" w:eastAsia="zh-CN"/>
        </w:rPr>
        <w:t>其</w:t>
      </w:r>
      <w:r>
        <w:rPr>
          <w:rFonts w:hint="eastAsia"/>
          <w:color w:val="auto"/>
          <w:sz w:val="24"/>
        </w:rPr>
        <w:t>参评资格；</w:t>
      </w:r>
    </w:p>
    <w:p w14:paraId="3059A7AA">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color w:val="auto"/>
          <w:sz w:val="24"/>
        </w:rPr>
      </w:pPr>
      <w:r>
        <w:rPr>
          <w:rFonts w:hint="eastAsia"/>
          <w:color w:val="auto"/>
          <w:sz w:val="24"/>
        </w:rPr>
        <w:t>（</w:t>
      </w:r>
      <w:r>
        <w:rPr>
          <w:color w:val="auto"/>
          <w:sz w:val="24"/>
        </w:rPr>
        <w:t>4</w:t>
      </w:r>
      <w:r>
        <w:rPr>
          <w:rFonts w:hint="eastAsia"/>
          <w:color w:val="auto"/>
          <w:sz w:val="24"/>
        </w:rPr>
        <w:t>）学期中不请假擅自离校或私自出国出境，违反者取消参评资格。</w:t>
      </w:r>
    </w:p>
    <w:p w14:paraId="61880727">
      <w:pPr>
        <w:spacing w:line="360" w:lineRule="auto"/>
        <w:rPr>
          <w:rFonts w:ascii="仿宋_GB2312" w:eastAsia="仿宋_GB2312"/>
          <w:b/>
          <w:color w:val="auto"/>
          <w:sz w:val="32"/>
        </w:rPr>
      </w:pPr>
      <w:r>
        <w:rPr>
          <w:rFonts w:hint="eastAsia" w:ascii="仿宋_GB2312" w:eastAsia="仿宋_GB2312"/>
          <w:b/>
          <w:color w:val="auto"/>
          <w:sz w:val="32"/>
          <w:lang w:val="en-US" w:eastAsia="zh-CN"/>
        </w:rPr>
        <w:t>七</w:t>
      </w:r>
      <w:r>
        <w:rPr>
          <w:rFonts w:hint="eastAsia" w:ascii="仿宋_GB2312" w:eastAsia="仿宋_GB2312"/>
          <w:b/>
          <w:color w:val="auto"/>
          <w:sz w:val="32"/>
        </w:rPr>
        <w:t>、</w:t>
      </w:r>
      <w:r>
        <w:rPr>
          <w:rFonts w:ascii="仿宋_GB2312" w:eastAsia="仿宋_GB2312"/>
          <w:b/>
          <w:color w:val="auto"/>
          <w:sz w:val="32"/>
        </w:rPr>
        <w:t>其他</w:t>
      </w:r>
      <w:r>
        <w:rPr>
          <w:rFonts w:hint="eastAsia" w:ascii="仿宋_GB2312" w:eastAsia="仿宋_GB2312"/>
          <w:b/>
          <w:color w:val="auto"/>
          <w:sz w:val="32"/>
        </w:rPr>
        <w:t>说明</w:t>
      </w:r>
    </w:p>
    <w:p w14:paraId="23A17E03">
      <w:pPr>
        <w:spacing w:line="360" w:lineRule="auto"/>
        <w:rPr>
          <w:rFonts w:ascii="宋体" w:hAnsi="宋体"/>
          <w:color w:val="auto"/>
          <w:sz w:val="24"/>
        </w:rPr>
      </w:pPr>
      <w:r>
        <w:rPr>
          <w:rFonts w:hint="eastAsia"/>
          <w:color w:val="auto"/>
          <w:sz w:val="24"/>
        </w:rPr>
        <w:t>（1）</w:t>
      </w:r>
      <w:r>
        <w:rPr>
          <w:rFonts w:hint="eastAsia" w:ascii="宋体" w:hAnsi="宋体"/>
          <w:color w:val="auto"/>
          <w:sz w:val="24"/>
          <w:lang w:val="en-US" w:eastAsia="zh-CN"/>
        </w:rPr>
        <w:t xml:space="preserve"> </w:t>
      </w:r>
      <w:r>
        <w:rPr>
          <w:rFonts w:hint="eastAsia" w:ascii="宋体" w:hAnsi="宋体"/>
          <w:color w:val="auto"/>
          <w:sz w:val="24"/>
        </w:rPr>
        <w:t>具体评选计分</w:t>
      </w:r>
      <w:r>
        <w:rPr>
          <w:rFonts w:ascii="宋体" w:hAnsi="宋体"/>
          <w:color w:val="auto"/>
          <w:sz w:val="24"/>
        </w:rPr>
        <w:t>比例</w:t>
      </w:r>
      <w:r>
        <w:rPr>
          <w:rFonts w:hint="eastAsia" w:ascii="宋体" w:hAnsi="宋体"/>
          <w:color w:val="auto"/>
          <w:sz w:val="24"/>
        </w:rPr>
        <w:t>如下</w:t>
      </w:r>
      <w:r>
        <w:rPr>
          <w:rFonts w:ascii="宋体" w:hAnsi="宋体"/>
          <w:color w:val="auto"/>
          <w:sz w:val="24"/>
        </w:rPr>
        <w:t>：</w:t>
      </w:r>
    </w:p>
    <w:tbl>
      <w:tblPr>
        <w:tblStyle w:val="7"/>
        <w:tblW w:w="8763" w:type="dxa"/>
        <w:tblInd w:w="-2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1154"/>
        <w:gridCol w:w="657"/>
        <w:gridCol w:w="1049"/>
        <w:gridCol w:w="1049"/>
        <w:gridCol w:w="1549"/>
        <w:gridCol w:w="879"/>
        <w:gridCol w:w="879"/>
      </w:tblGrid>
      <w:tr w14:paraId="7CFE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47" w:type="dxa"/>
          </w:tcPr>
          <w:p w14:paraId="4E490D3C">
            <w:pPr>
              <w:spacing w:line="360" w:lineRule="auto"/>
              <w:jc w:val="center"/>
              <w:rPr>
                <w:rFonts w:ascii="宋体"/>
                <w:color w:val="auto"/>
                <w:sz w:val="22"/>
              </w:rPr>
            </w:pPr>
          </w:p>
        </w:tc>
        <w:tc>
          <w:tcPr>
            <w:tcW w:w="1154" w:type="dxa"/>
          </w:tcPr>
          <w:p w14:paraId="3D08FEA0">
            <w:pPr>
              <w:jc w:val="center"/>
              <w:rPr>
                <w:rFonts w:ascii="宋体"/>
                <w:color w:val="auto"/>
                <w:sz w:val="22"/>
              </w:rPr>
            </w:pPr>
            <w:r>
              <w:rPr>
                <w:rFonts w:hint="eastAsia" w:ascii="宋体"/>
                <w:color w:val="auto"/>
                <w:sz w:val="22"/>
              </w:rPr>
              <w:t>班级（团支部）</w:t>
            </w:r>
            <w:r>
              <w:rPr>
                <w:rFonts w:ascii="宋体"/>
                <w:color w:val="auto"/>
                <w:sz w:val="22"/>
              </w:rPr>
              <w:t>民主评议</w:t>
            </w:r>
          </w:p>
        </w:tc>
        <w:tc>
          <w:tcPr>
            <w:tcW w:w="657" w:type="dxa"/>
          </w:tcPr>
          <w:p w14:paraId="549C94E6">
            <w:pPr>
              <w:jc w:val="center"/>
              <w:rPr>
                <w:rFonts w:hint="default" w:ascii="宋体"/>
                <w:color w:val="auto"/>
                <w:sz w:val="22"/>
                <w:lang w:val="en-US" w:eastAsia="zh-CN"/>
              </w:rPr>
            </w:pPr>
            <w:r>
              <w:rPr>
                <w:rFonts w:hint="eastAsia" w:ascii="宋体"/>
                <w:color w:val="auto"/>
                <w:sz w:val="22"/>
                <w:lang w:val="en-US" w:eastAsia="zh-CN"/>
              </w:rPr>
              <w:t>科研能力</w:t>
            </w:r>
          </w:p>
        </w:tc>
        <w:tc>
          <w:tcPr>
            <w:tcW w:w="1049" w:type="dxa"/>
          </w:tcPr>
          <w:p w14:paraId="711E315E">
            <w:pPr>
              <w:jc w:val="center"/>
              <w:rPr>
                <w:rFonts w:hint="default" w:ascii="宋体"/>
                <w:color w:val="auto"/>
                <w:sz w:val="22"/>
                <w:lang w:val="en-US" w:eastAsia="zh-CN"/>
              </w:rPr>
            </w:pPr>
            <w:r>
              <w:rPr>
                <w:rFonts w:hint="eastAsia" w:ascii="宋体"/>
                <w:color w:val="auto"/>
                <w:sz w:val="22"/>
                <w:lang w:val="en-US" w:eastAsia="zh-CN"/>
              </w:rPr>
              <w:t>规格化成绩</w:t>
            </w:r>
          </w:p>
        </w:tc>
        <w:tc>
          <w:tcPr>
            <w:tcW w:w="1049" w:type="dxa"/>
          </w:tcPr>
          <w:p w14:paraId="04BBCFF9">
            <w:pPr>
              <w:jc w:val="center"/>
              <w:rPr>
                <w:rFonts w:hint="eastAsia" w:ascii="宋体"/>
                <w:color w:val="auto"/>
                <w:sz w:val="22"/>
              </w:rPr>
            </w:pPr>
            <w:r>
              <w:rPr>
                <w:rFonts w:hint="eastAsia" w:ascii="宋体"/>
                <w:color w:val="auto"/>
                <w:sz w:val="22"/>
              </w:rPr>
              <w:t>荣誉获奖</w:t>
            </w:r>
          </w:p>
          <w:p w14:paraId="2C254539">
            <w:pPr>
              <w:jc w:val="center"/>
              <w:rPr>
                <w:rFonts w:hint="eastAsia" w:ascii="宋体" w:eastAsia="宋体"/>
                <w:color w:val="auto"/>
                <w:sz w:val="22"/>
                <w:lang w:val="en-US" w:eastAsia="zh-CN"/>
              </w:rPr>
            </w:pPr>
            <w:r>
              <w:rPr>
                <w:rFonts w:hint="eastAsia" w:ascii="宋体"/>
                <w:color w:val="auto"/>
                <w:sz w:val="22"/>
                <w:lang w:val="en-US" w:eastAsia="zh-CN"/>
              </w:rPr>
              <w:t>占比</w:t>
            </w:r>
          </w:p>
        </w:tc>
        <w:tc>
          <w:tcPr>
            <w:tcW w:w="1549" w:type="dxa"/>
            <w:vAlign w:val="top"/>
          </w:tcPr>
          <w:p w14:paraId="67F78AC5">
            <w:pPr>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担任</w:t>
            </w:r>
            <w:r>
              <w:rPr>
                <w:rFonts w:ascii="宋体"/>
                <w:color w:val="auto"/>
                <w:sz w:val="22"/>
              </w:rPr>
              <w:t>学生工作</w:t>
            </w:r>
            <w:r>
              <w:rPr>
                <w:rFonts w:hint="eastAsia" w:ascii="宋体"/>
                <w:color w:val="auto"/>
                <w:sz w:val="22"/>
              </w:rPr>
              <w:t>、</w:t>
            </w:r>
            <w:r>
              <w:rPr>
                <w:rFonts w:ascii="宋体"/>
                <w:color w:val="auto"/>
                <w:sz w:val="22"/>
              </w:rPr>
              <w:t>参与学生活动</w:t>
            </w:r>
            <w:r>
              <w:rPr>
                <w:rFonts w:hint="eastAsia" w:ascii="宋体"/>
                <w:color w:val="auto"/>
                <w:sz w:val="22"/>
                <w:lang w:val="en-US" w:eastAsia="zh-CN"/>
              </w:rPr>
              <w:t>占比</w:t>
            </w:r>
          </w:p>
        </w:tc>
        <w:tc>
          <w:tcPr>
            <w:tcW w:w="879" w:type="dxa"/>
          </w:tcPr>
          <w:p w14:paraId="12AE4F91">
            <w:pPr>
              <w:jc w:val="center"/>
              <w:rPr>
                <w:rFonts w:hint="default" w:ascii="宋体" w:eastAsia="宋体"/>
                <w:color w:val="auto"/>
                <w:sz w:val="22"/>
                <w:lang w:val="en-US" w:eastAsia="zh-CN"/>
              </w:rPr>
            </w:pPr>
            <w:r>
              <w:rPr>
                <w:rFonts w:hint="eastAsia" w:ascii="宋体"/>
                <w:color w:val="auto"/>
                <w:sz w:val="22"/>
                <w:lang w:val="en-US" w:eastAsia="zh-CN"/>
              </w:rPr>
              <w:t>总分得分占比</w:t>
            </w:r>
          </w:p>
        </w:tc>
        <w:tc>
          <w:tcPr>
            <w:tcW w:w="879" w:type="dxa"/>
          </w:tcPr>
          <w:p w14:paraId="641F4D23">
            <w:pPr>
              <w:jc w:val="center"/>
              <w:rPr>
                <w:rFonts w:hint="default" w:ascii="宋体"/>
                <w:color w:val="auto"/>
                <w:sz w:val="22"/>
                <w:lang w:val="en-US" w:eastAsia="zh-CN"/>
              </w:rPr>
            </w:pPr>
            <w:r>
              <w:rPr>
                <w:rFonts w:hint="eastAsia" w:ascii="宋体"/>
                <w:color w:val="auto"/>
                <w:sz w:val="22"/>
                <w:lang w:val="en-US" w:eastAsia="zh-CN"/>
              </w:rPr>
              <w:t>答辩的分占比</w:t>
            </w:r>
          </w:p>
        </w:tc>
      </w:tr>
      <w:tr w14:paraId="0D2E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26F23939">
            <w:pPr>
              <w:spacing w:line="360" w:lineRule="auto"/>
              <w:jc w:val="center"/>
              <w:rPr>
                <w:rFonts w:hint="default" w:ascii="宋体" w:eastAsia="宋体"/>
                <w:color w:val="auto"/>
                <w:sz w:val="22"/>
                <w:highlight w:val="yellow"/>
                <w:lang w:val="en-US" w:eastAsia="zh-CN"/>
              </w:rPr>
            </w:pPr>
            <w:r>
              <w:rPr>
                <w:rFonts w:hint="eastAsia" w:ascii="宋体"/>
                <w:color w:val="auto"/>
                <w:sz w:val="22"/>
                <w:lang w:val="en-US" w:eastAsia="zh-CN"/>
              </w:rPr>
              <w:t>三好</w:t>
            </w:r>
          </w:p>
        </w:tc>
        <w:tc>
          <w:tcPr>
            <w:tcW w:w="1154" w:type="dxa"/>
          </w:tcPr>
          <w:p w14:paraId="2E740BA6">
            <w:pPr>
              <w:spacing w:line="360" w:lineRule="auto"/>
              <w:jc w:val="center"/>
              <w:rPr>
                <w:rFonts w:ascii="宋体"/>
                <w:color w:val="auto"/>
                <w:sz w:val="22"/>
              </w:rPr>
            </w:pPr>
            <w:r>
              <w:rPr>
                <w:rFonts w:hint="eastAsia" w:ascii="宋体"/>
                <w:color w:val="auto"/>
                <w:sz w:val="22"/>
              </w:rPr>
              <w:t>合格</w:t>
            </w:r>
          </w:p>
        </w:tc>
        <w:tc>
          <w:tcPr>
            <w:tcW w:w="657" w:type="dxa"/>
            <w:vAlign w:val="top"/>
          </w:tcPr>
          <w:p w14:paraId="4516C77C">
            <w:pPr>
              <w:spacing w:line="360" w:lineRule="auto"/>
              <w:jc w:val="center"/>
              <w:rPr>
                <w:rFonts w:hint="default" w:ascii="宋体" w:hAnsi="Times New Roman" w:eastAsia="宋体" w:cs="Times New Roman"/>
                <w:color w:val="auto"/>
                <w:kern w:val="2"/>
                <w:sz w:val="22"/>
                <w:szCs w:val="24"/>
                <w:lang w:val="en-US" w:eastAsia="zh-CN" w:bidi="ar-SA"/>
              </w:rPr>
            </w:pPr>
            <w:r>
              <w:rPr>
                <w:rFonts w:ascii="宋体"/>
                <w:color w:val="auto"/>
                <w:sz w:val="22"/>
              </w:rPr>
              <w:t>1</w:t>
            </w:r>
            <w:r>
              <w:rPr>
                <w:rFonts w:hint="eastAsia" w:ascii="宋体"/>
                <w:color w:val="auto"/>
                <w:sz w:val="22"/>
                <w:lang w:val="en-US" w:eastAsia="zh-CN"/>
              </w:rPr>
              <w:t>5</w:t>
            </w:r>
            <w:r>
              <w:rPr>
                <w:rFonts w:ascii="宋体"/>
                <w:color w:val="auto"/>
                <w:sz w:val="22"/>
              </w:rPr>
              <w:t>%</w:t>
            </w:r>
          </w:p>
        </w:tc>
        <w:tc>
          <w:tcPr>
            <w:tcW w:w="1049" w:type="dxa"/>
            <w:vAlign w:val="top"/>
          </w:tcPr>
          <w:p w14:paraId="3A952088">
            <w:pPr>
              <w:spacing w:line="360" w:lineRule="auto"/>
              <w:jc w:val="center"/>
              <w:rPr>
                <w:rFonts w:hint="default" w:ascii="宋体"/>
                <w:color w:val="auto"/>
                <w:sz w:val="22"/>
                <w:lang w:val="en-US" w:eastAsia="zh-CN"/>
              </w:rPr>
            </w:pPr>
            <w:r>
              <w:rPr>
                <w:rFonts w:hint="eastAsia" w:ascii="宋体"/>
                <w:color w:val="auto"/>
                <w:sz w:val="22"/>
                <w:lang w:val="en-US" w:eastAsia="zh-CN"/>
              </w:rPr>
              <w:t>0</w:t>
            </w:r>
          </w:p>
        </w:tc>
        <w:tc>
          <w:tcPr>
            <w:tcW w:w="1049" w:type="dxa"/>
            <w:vAlign w:val="top"/>
          </w:tcPr>
          <w:p w14:paraId="391B502B">
            <w:pPr>
              <w:spacing w:line="360" w:lineRule="auto"/>
              <w:jc w:val="center"/>
              <w:rPr>
                <w:rFonts w:ascii="宋体" w:hAnsi="Times New Roman" w:eastAsia="宋体" w:cs="Times New Roman"/>
                <w:color w:val="auto"/>
                <w:kern w:val="2"/>
                <w:sz w:val="22"/>
                <w:szCs w:val="24"/>
                <w:lang w:val="en-US" w:eastAsia="zh-CN" w:bidi="ar-SA"/>
              </w:rPr>
            </w:pPr>
            <w:r>
              <w:rPr>
                <w:rFonts w:hint="eastAsia" w:ascii="宋体"/>
                <w:color w:val="auto"/>
                <w:sz w:val="22"/>
                <w:lang w:val="en-US" w:eastAsia="zh-CN"/>
              </w:rPr>
              <w:t>20</w:t>
            </w:r>
            <w:r>
              <w:rPr>
                <w:rFonts w:ascii="宋体"/>
                <w:color w:val="auto"/>
                <w:sz w:val="22"/>
              </w:rPr>
              <w:t>%</w:t>
            </w:r>
          </w:p>
        </w:tc>
        <w:tc>
          <w:tcPr>
            <w:tcW w:w="1549" w:type="dxa"/>
            <w:vAlign w:val="top"/>
          </w:tcPr>
          <w:p w14:paraId="3A6D3786">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65%</w:t>
            </w:r>
          </w:p>
        </w:tc>
        <w:tc>
          <w:tcPr>
            <w:tcW w:w="879" w:type="dxa"/>
            <w:vAlign w:val="top"/>
          </w:tcPr>
          <w:p w14:paraId="301C2A82">
            <w:pPr>
              <w:spacing w:line="360" w:lineRule="auto"/>
              <w:jc w:val="center"/>
              <w:rPr>
                <w:rFonts w:hint="default" w:ascii="宋体" w:hAnsi="Times New Roman" w:eastAsia="宋体" w:cs="Times New Roman"/>
                <w:b/>
                <w:color w:val="auto"/>
                <w:kern w:val="2"/>
                <w:sz w:val="22"/>
                <w:szCs w:val="24"/>
                <w:lang w:val="en-US" w:eastAsia="zh-CN" w:bidi="ar-SA"/>
              </w:rPr>
            </w:pPr>
            <w:r>
              <w:rPr>
                <w:rFonts w:hint="eastAsia" w:ascii="宋体"/>
                <w:b/>
                <w:color w:val="auto"/>
                <w:sz w:val="22"/>
                <w:lang w:val="en-US" w:eastAsia="zh-CN"/>
              </w:rPr>
              <w:t>100</w:t>
            </w:r>
            <w:r>
              <w:rPr>
                <w:rFonts w:ascii="宋体"/>
                <w:b/>
                <w:color w:val="auto"/>
                <w:sz w:val="22"/>
              </w:rPr>
              <w:t>%</w:t>
            </w:r>
          </w:p>
        </w:tc>
        <w:tc>
          <w:tcPr>
            <w:tcW w:w="879" w:type="dxa"/>
            <w:vAlign w:val="top"/>
          </w:tcPr>
          <w:p w14:paraId="3E8D7530">
            <w:pPr>
              <w:spacing w:line="360" w:lineRule="auto"/>
              <w:jc w:val="center"/>
              <w:rPr>
                <w:rFonts w:hint="default" w:ascii="宋体"/>
                <w:b/>
                <w:color w:val="auto"/>
                <w:sz w:val="22"/>
                <w:lang w:val="en-US" w:eastAsia="zh-CN"/>
              </w:rPr>
            </w:pPr>
            <w:r>
              <w:rPr>
                <w:rFonts w:hint="eastAsia" w:ascii="宋体"/>
                <w:b/>
                <w:color w:val="auto"/>
                <w:sz w:val="22"/>
                <w:lang w:val="en-US" w:eastAsia="zh-CN"/>
              </w:rPr>
              <w:t>0</w:t>
            </w:r>
          </w:p>
        </w:tc>
      </w:tr>
      <w:tr w14:paraId="0DD21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tcPr>
          <w:p w14:paraId="73506DBC">
            <w:pPr>
              <w:spacing w:line="360" w:lineRule="auto"/>
              <w:jc w:val="center"/>
              <w:rPr>
                <w:rFonts w:hint="default" w:ascii="宋体"/>
                <w:color w:val="auto"/>
                <w:sz w:val="22"/>
                <w:lang w:val="en-US" w:eastAsia="zh-CN"/>
              </w:rPr>
            </w:pPr>
            <w:r>
              <w:rPr>
                <w:rFonts w:hint="eastAsia" w:ascii="宋体"/>
                <w:color w:val="auto"/>
                <w:sz w:val="22"/>
                <w:lang w:val="en-US" w:eastAsia="zh-CN"/>
              </w:rPr>
              <w:t>三好（优干）标兵/优干</w:t>
            </w:r>
          </w:p>
        </w:tc>
        <w:tc>
          <w:tcPr>
            <w:tcW w:w="7216" w:type="dxa"/>
            <w:gridSpan w:val="7"/>
            <w:vAlign w:val="center"/>
          </w:tcPr>
          <w:p w14:paraId="1B11616C">
            <w:pPr>
              <w:spacing w:line="360" w:lineRule="auto"/>
              <w:jc w:val="center"/>
              <w:rPr>
                <w:rFonts w:hint="eastAsia" w:ascii="宋体" w:eastAsia="宋体"/>
                <w:b/>
                <w:bCs/>
                <w:color w:val="auto"/>
                <w:sz w:val="22"/>
                <w:szCs w:val="22"/>
                <w:lang w:eastAsia="zh-CN"/>
              </w:rPr>
            </w:pPr>
            <w:r>
              <w:rPr>
                <w:rFonts w:hint="eastAsia" w:ascii="宋体"/>
                <w:b/>
                <w:bCs/>
                <w:color w:val="auto"/>
                <w:sz w:val="22"/>
                <w:szCs w:val="22"/>
              </w:rPr>
              <w:t>在</w:t>
            </w:r>
            <w:r>
              <w:rPr>
                <w:rFonts w:hint="eastAsia" w:ascii="宋体"/>
                <w:b/>
                <w:bCs/>
                <w:color w:val="auto"/>
                <w:sz w:val="22"/>
                <w:szCs w:val="22"/>
                <w:lang w:val="en-US" w:eastAsia="zh-CN"/>
              </w:rPr>
              <w:t>三好</w:t>
            </w:r>
            <w:r>
              <w:rPr>
                <w:rFonts w:hint="eastAsia" w:ascii="宋体"/>
                <w:b/>
                <w:bCs/>
                <w:color w:val="auto"/>
                <w:sz w:val="22"/>
                <w:szCs w:val="22"/>
              </w:rPr>
              <w:t>中选出,自愿申请</w:t>
            </w:r>
            <w:r>
              <w:rPr>
                <w:rFonts w:hint="eastAsia" w:ascii="宋体"/>
                <w:b/>
                <w:bCs/>
                <w:color w:val="auto"/>
                <w:sz w:val="22"/>
                <w:szCs w:val="22"/>
                <w:lang w:eastAsia="zh-CN"/>
              </w:rPr>
              <w:t>，</w:t>
            </w:r>
            <w:r>
              <w:rPr>
                <w:rFonts w:hint="eastAsia" w:ascii="宋体"/>
                <w:b/>
                <w:bCs/>
                <w:color w:val="auto"/>
                <w:sz w:val="22"/>
                <w:szCs w:val="22"/>
                <w:lang w:val="en-US" w:eastAsia="zh-CN"/>
              </w:rPr>
              <w:t>通过</w:t>
            </w:r>
            <w:r>
              <w:rPr>
                <w:rFonts w:hint="eastAsia" w:ascii="宋体"/>
                <w:b/>
                <w:bCs/>
                <w:color w:val="auto"/>
                <w:sz w:val="22"/>
                <w:szCs w:val="22"/>
              </w:rPr>
              <w:t>答辩选出</w:t>
            </w:r>
            <w:r>
              <w:rPr>
                <w:rFonts w:hint="eastAsia" w:ascii="宋体"/>
                <w:b/>
                <w:bCs/>
                <w:color w:val="auto"/>
                <w:sz w:val="22"/>
                <w:szCs w:val="22"/>
                <w:lang w:eastAsia="zh-CN"/>
              </w:rPr>
              <w:t>。</w:t>
            </w:r>
          </w:p>
        </w:tc>
      </w:tr>
      <w:tr w14:paraId="466E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vAlign w:val="top"/>
          </w:tcPr>
          <w:p w14:paraId="776359F4">
            <w:pPr>
              <w:spacing w:line="360" w:lineRule="auto"/>
              <w:jc w:val="center"/>
              <w:rPr>
                <w:rFonts w:ascii="宋体"/>
                <w:color w:val="auto"/>
                <w:sz w:val="22"/>
              </w:rPr>
            </w:pPr>
            <w:r>
              <w:rPr>
                <w:rFonts w:hint="eastAsia" w:ascii="宋体"/>
                <w:color w:val="auto"/>
                <w:sz w:val="22"/>
              </w:rPr>
              <w:t>单项</w:t>
            </w:r>
            <w:r>
              <w:rPr>
                <w:rFonts w:ascii="宋体"/>
                <w:color w:val="auto"/>
                <w:sz w:val="22"/>
              </w:rPr>
              <w:t>先进个人</w:t>
            </w:r>
          </w:p>
          <w:p w14:paraId="10FA7B9F">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（学业</w:t>
            </w:r>
            <w:r>
              <w:rPr>
                <w:rFonts w:ascii="宋体"/>
                <w:color w:val="auto"/>
                <w:sz w:val="22"/>
              </w:rPr>
              <w:t>成绩</w:t>
            </w:r>
            <w:r>
              <w:rPr>
                <w:rFonts w:hint="eastAsia" w:ascii="宋体"/>
                <w:color w:val="auto"/>
                <w:sz w:val="22"/>
              </w:rPr>
              <w:t>）</w:t>
            </w:r>
          </w:p>
        </w:tc>
        <w:tc>
          <w:tcPr>
            <w:tcW w:w="1154" w:type="dxa"/>
            <w:vAlign w:val="center"/>
          </w:tcPr>
          <w:p w14:paraId="159C6967">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合格</w:t>
            </w:r>
          </w:p>
        </w:tc>
        <w:tc>
          <w:tcPr>
            <w:tcW w:w="657" w:type="dxa"/>
            <w:vAlign w:val="center"/>
          </w:tcPr>
          <w:p w14:paraId="06C2270F">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20%</w:t>
            </w:r>
          </w:p>
        </w:tc>
        <w:tc>
          <w:tcPr>
            <w:tcW w:w="1049" w:type="dxa"/>
            <w:vAlign w:val="center"/>
          </w:tcPr>
          <w:p w14:paraId="44DD8FC8">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70</w:t>
            </w:r>
            <w:r>
              <w:rPr>
                <w:rFonts w:ascii="宋体"/>
                <w:color w:val="auto"/>
                <w:sz w:val="22"/>
              </w:rPr>
              <w:t>%</w:t>
            </w:r>
          </w:p>
        </w:tc>
        <w:tc>
          <w:tcPr>
            <w:tcW w:w="1049" w:type="dxa"/>
            <w:vAlign w:val="center"/>
          </w:tcPr>
          <w:p w14:paraId="22184AA5">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5%</w:t>
            </w:r>
          </w:p>
        </w:tc>
        <w:tc>
          <w:tcPr>
            <w:tcW w:w="1549" w:type="dxa"/>
            <w:vAlign w:val="center"/>
          </w:tcPr>
          <w:p w14:paraId="4F7433AB">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5%</w:t>
            </w:r>
          </w:p>
        </w:tc>
        <w:tc>
          <w:tcPr>
            <w:tcW w:w="879" w:type="dxa"/>
            <w:vAlign w:val="center"/>
          </w:tcPr>
          <w:p w14:paraId="7BA1C442">
            <w:pPr>
              <w:spacing w:line="360" w:lineRule="auto"/>
              <w:jc w:val="center"/>
              <w:rPr>
                <w:rFonts w:hint="eastAsia" w:ascii="宋体" w:hAnsi="Times New Roman" w:eastAsia="宋体" w:cs="Times New Roman"/>
                <w:b/>
                <w:color w:val="auto"/>
                <w:kern w:val="2"/>
                <w:sz w:val="22"/>
                <w:szCs w:val="24"/>
                <w:lang w:val="en-US" w:eastAsia="zh-CN" w:bidi="ar-SA"/>
              </w:rPr>
            </w:pPr>
            <w:r>
              <w:rPr>
                <w:rFonts w:hint="eastAsia" w:ascii="宋体"/>
                <w:b/>
                <w:color w:val="auto"/>
                <w:sz w:val="22"/>
              </w:rPr>
              <w:t>70</w:t>
            </w:r>
            <w:r>
              <w:rPr>
                <w:rFonts w:ascii="宋体"/>
                <w:b/>
                <w:color w:val="auto"/>
                <w:sz w:val="22"/>
              </w:rPr>
              <w:t>%</w:t>
            </w:r>
          </w:p>
        </w:tc>
        <w:tc>
          <w:tcPr>
            <w:tcW w:w="879" w:type="dxa"/>
            <w:vAlign w:val="center"/>
          </w:tcPr>
          <w:p w14:paraId="78E6DC57">
            <w:pPr>
              <w:spacing w:line="360" w:lineRule="auto"/>
              <w:jc w:val="center"/>
              <w:rPr>
                <w:rFonts w:hint="default" w:ascii="宋体" w:eastAsia="宋体"/>
                <w:b/>
                <w:color w:val="auto"/>
                <w:sz w:val="22"/>
                <w:lang w:val="en-US" w:eastAsia="zh-CN"/>
              </w:rPr>
            </w:pPr>
            <w:r>
              <w:rPr>
                <w:rFonts w:hint="eastAsia" w:ascii="宋体"/>
                <w:b/>
                <w:color w:val="auto"/>
                <w:sz w:val="22"/>
                <w:lang w:val="en-US" w:eastAsia="zh-CN"/>
              </w:rPr>
              <w:t>30%</w:t>
            </w:r>
          </w:p>
        </w:tc>
      </w:tr>
      <w:tr w14:paraId="30807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vAlign w:val="top"/>
          </w:tcPr>
          <w:p w14:paraId="08223ED7">
            <w:pPr>
              <w:spacing w:line="360" w:lineRule="auto"/>
              <w:jc w:val="center"/>
              <w:rPr>
                <w:rFonts w:ascii="宋体"/>
                <w:color w:val="auto"/>
                <w:sz w:val="22"/>
              </w:rPr>
            </w:pPr>
            <w:r>
              <w:rPr>
                <w:rFonts w:hint="eastAsia" w:ascii="宋体"/>
                <w:color w:val="auto"/>
                <w:sz w:val="22"/>
              </w:rPr>
              <w:t>单项</w:t>
            </w:r>
            <w:r>
              <w:rPr>
                <w:rFonts w:ascii="宋体"/>
                <w:color w:val="auto"/>
                <w:sz w:val="22"/>
              </w:rPr>
              <w:t>先进个人</w:t>
            </w:r>
          </w:p>
          <w:p w14:paraId="40346662">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（学术</w:t>
            </w:r>
            <w:r>
              <w:rPr>
                <w:rFonts w:ascii="宋体"/>
                <w:color w:val="auto"/>
                <w:sz w:val="22"/>
              </w:rPr>
              <w:t>创新</w:t>
            </w:r>
            <w:r>
              <w:rPr>
                <w:rFonts w:hint="eastAsia" w:ascii="宋体"/>
                <w:color w:val="auto"/>
                <w:sz w:val="22"/>
              </w:rPr>
              <w:t>）</w:t>
            </w:r>
          </w:p>
        </w:tc>
        <w:tc>
          <w:tcPr>
            <w:tcW w:w="1154" w:type="dxa"/>
            <w:vAlign w:val="center"/>
          </w:tcPr>
          <w:p w14:paraId="5E69B844">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合格</w:t>
            </w:r>
          </w:p>
        </w:tc>
        <w:tc>
          <w:tcPr>
            <w:tcW w:w="657" w:type="dxa"/>
            <w:vAlign w:val="center"/>
          </w:tcPr>
          <w:p w14:paraId="388A531C">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lang w:val="en-US" w:eastAsia="zh-CN"/>
              </w:rPr>
              <w:t>70</w:t>
            </w:r>
            <w:r>
              <w:rPr>
                <w:rFonts w:ascii="宋体"/>
                <w:color w:val="auto"/>
                <w:sz w:val="22"/>
              </w:rPr>
              <w:t>%</w:t>
            </w:r>
          </w:p>
        </w:tc>
        <w:tc>
          <w:tcPr>
            <w:tcW w:w="1049" w:type="dxa"/>
            <w:vAlign w:val="center"/>
          </w:tcPr>
          <w:p w14:paraId="7D30A858">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2</w:t>
            </w:r>
            <w:r>
              <w:rPr>
                <w:rFonts w:hint="eastAsia" w:ascii="宋体"/>
                <w:color w:val="auto"/>
                <w:sz w:val="22"/>
                <w:lang w:val="en-US" w:eastAsia="zh-CN"/>
              </w:rPr>
              <w:t>0</w:t>
            </w:r>
            <w:r>
              <w:rPr>
                <w:rFonts w:ascii="宋体"/>
                <w:color w:val="auto"/>
                <w:sz w:val="22"/>
              </w:rPr>
              <w:t>%</w:t>
            </w:r>
          </w:p>
        </w:tc>
        <w:tc>
          <w:tcPr>
            <w:tcW w:w="1049" w:type="dxa"/>
            <w:vAlign w:val="center"/>
          </w:tcPr>
          <w:p w14:paraId="3A9BBBB5">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5%</w:t>
            </w:r>
          </w:p>
        </w:tc>
        <w:tc>
          <w:tcPr>
            <w:tcW w:w="1549" w:type="dxa"/>
            <w:vAlign w:val="center"/>
          </w:tcPr>
          <w:p w14:paraId="2731076E">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5%</w:t>
            </w:r>
          </w:p>
        </w:tc>
        <w:tc>
          <w:tcPr>
            <w:tcW w:w="879" w:type="dxa"/>
            <w:vAlign w:val="center"/>
          </w:tcPr>
          <w:p w14:paraId="50B94FF1">
            <w:pPr>
              <w:spacing w:line="360" w:lineRule="auto"/>
              <w:jc w:val="center"/>
              <w:rPr>
                <w:rFonts w:hint="eastAsia" w:ascii="宋体" w:hAnsi="Times New Roman" w:eastAsia="宋体" w:cs="Times New Roman"/>
                <w:b/>
                <w:color w:val="auto"/>
                <w:kern w:val="2"/>
                <w:sz w:val="22"/>
                <w:szCs w:val="24"/>
                <w:lang w:val="en-US" w:eastAsia="zh-CN" w:bidi="ar-SA"/>
              </w:rPr>
            </w:pPr>
            <w:r>
              <w:rPr>
                <w:rFonts w:hint="eastAsia" w:ascii="宋体"/>
                <w:b/>
                <w:color w:val="auto"/>
                <w:sz w:val="22"/>
              </w:rPr>
              <w:t>70</w:t>
            </w:r>
            <w:r>
              <w:rPr>
                <w:rFonts w:ascii="宋体"/>
                <w:b/>
                <w:color w:val="auto"/>
                <w:sz w:val="22"/>
              </w:rPr>
              <w:t>%</w:t>
            </w:r>
          </w:p>
        </w:tc>
        <w:tc>
          <w:tcPr>
            <w:tcW w:w="879" w:type="dxa"/>
            <w:vAlign w:val="center"/>
          </w:tcPr>
          <w:p w14:paraId="25C4DFD1">
            <w:pPr>
              <w:spacing w:line="360" w:lineRule="auto"/>
              <w:jc w:val="center"/>
              <w:rPr>
                <w:rFonts w:hint="eastAsia" w:ascii="宋体"/>
                <w:b/>
                <w:color w:val="auto"/>
                <w:sz w:val="22"/>
              </w:rPr>
            </w:pPr>
            <w:r>
              <w:rPr>
                <w:rFonts w:hint="eastAsia" w:ascii="宋体"/>
                <w:b/>
                <w:color w:val="auto"/>
                <w:sz w:val="22"/>
                <w:lang w:val="en-US" w:eastAsia="zh-CN"/>
              </w:rPr>
              <w:t>30%</w:t>
            </w:r>
          </w:p>
        </w:tc>
      </w:tr>
      <w:tr w14:paraId="21BC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vAlign w:val="top"/>
          </w:tcPr>
          <w:p w14:paraId="6E1E522B">
            <w:pPr>
              <w:spacing w:line="360" w:lineRule="auto"/>
              <w:jc w:val="center"/>
              <w:rPr>
                <w:rFonts w:ascii="宋体"/>
                <w:color w:val="auto"/>
                <w:sz w:val="22"/>
              </w:rPr>
            </w:pPr>
            <w:r>
              <w:rPr>
                <w:rFonts w:hint="eastAsia" w:ascii="宋体"/>
                <w:color w:val="auto"/>
                <w:sz w:val="22"/>
              </w:rPr>
              <w:t>单项</w:t>
            </w:r>
            <w:r>
              <w:rPr>
                <w:rFonts w:ascii="宋体"/>
                <w:color w:val="auto"/>
                <w:sz w:val="22"/>
              </w:rPr>
              <w:t>先进个人</w:t>
            </w:r>
          </w:p>
          <w:p w14:paraId="645A0870">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（实践劳动）</w:t>
            </w:r>
          </w:p>
        </w:tc>
        <w:tc>
          <w:tcPr>
            <w:tcW w:w="1154" w:type="dxa"/>
            <w:vAlign w:val="center"/>
          </w:tcPr>
          <w:p w14:paraId="58C1A198">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合格</w:t>
            </w:r>
          </w:p>
        </w:tc>
        <w:tc>
          <w:tcPr>
            <w:tcW w:w="657" w:type="dxa"/>
            <w:vAlign w:val="center"/>
          </w:tcPr>
          <w:p w14:paraId="1C7190DB">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0</w:t>
            </w:r>
          </w:p>
        </w:tc>
        <w:tc>
          <w:tcPr>
            <w:tcW w:w="1049" w:type="dxa"/>
            <w:vAlign w:val="center"/>
          </w:tcPr>
          <w:p w14:paraId="77C6C8EB">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0</w:t>
            </w:r>
          </w:p>
        </w:tc>
        <w:tc>
          <w:tcPr>
            <w:tcW w:w="1049" w:type="dxa"/>
            <w:vAlign w:val="center"/>
          </w:tcPr>
          <w:p w14:paraId="6EF44CD7">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20%</w:t>
            </w:r>
          </w:p>
        </w:tc>
        <w:tc>
          <w:tcPr>
            <w:tcW w:w="1549" w:type="dxa"/>
            <w:vAlign w:val="center"/>
          </w:tcPr>
          <w:p w14:paraId="7C56FB63">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80%</w:t>
            </w:r>
          </w:p>
        </w:tc>
        <w:tc>
          <w:tcPr>
            <w:tcW w:w="879" w:type="dxa"/>
            <w:vAlign w:val="center"/>
          </w:tcPr>
          <w:p w14:paraId="77904F9D">
            <w:pPr>
              <w:spacing w:line="360" w:lineRule="auto"/>
              <w:jc w:val="center"/>
              <w:rPr>
                <w:rFonts w:hint="eastAsia" w:ascii="宋体" w:hAnsi="Times New Roman" w:eastAsia="宋体" w:cs="Times New Roman"/>
                <w:b/>
                <w:color w:val="auto"/>
                <w:kern w:val="2"/>
                <w:sz w:val="22"/>
                <w:szCs w:val="24"/>
                <w:lang w:val="en-US" w:eastAsia="zh-CN" w:bidi="ar-SA"/>
              </w:rPr>
            </w:pPr>
            <w:r>
              <w:rPr>
                <w:rFonts w:ascii="宋体"/>
                <w:b/>
                <w:color w:val="auto"/>
                <w:sz w:val="22"/>
              </w:rPr>
              <w:t>70%</w:t>
            </w:r>
          </w:p>
        </w:tc>
        <w:tc>
          <w:tcPr>
            <w:tcW w:w="879" w:type="dxa"/>
            <w:vAlign w:val="center"/>
          </w:tcPr>
          <w:p w14:paraId="2DA06FCE">
            <w:pPr>
              <w:spacing w:line="360" w:lineRule="auto"/>
              <w:jc w:val="center"/>
              <w:rPr>
                <w:rFonts w:ascii="宋体"/>
                <w:b/>
                <w:color w:val="auto"/>
                <w:sz w:val="22"/>
              </w:rPr>
            </w:pPr>
            <w:r>
              <w:rPr>
                <w:rFonts w:hint="eastAsia" w:ascii="宋体"/>
                <w:b/>
                <w:color w:val="auto"/>
                <w:sz w:val="22"/>
                <w:lang w:val="en-US" w:eastAsia="zh-CN"/>
              </w:rPr>
              <w:t>30%</w:t>
            </w:r>
          </w:p>
        </w:tc>
      </w:tr>
      <w:tr w14:paraId="5AB9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vAlign w:val="top"/>
          </w:tcPr>
          <w:p w14:paraId="13EFE064">
            <w:pPr>
              <w:spacing w:line="360" w:lineRule="auto"/>
              <w:jc w:val="center"/>
              <w:rPr>
                <w:rFonts w:ascii="宋体"/>
                <w:color w:val="auto"/>
                <w:sz w:val="22"/>
              </w:rPr>
            </w:pPr>
            <w:r>
              <w:rPr>
                <w:rFonts w:hint="eastAsia" w:ascii="宋体"/>
                <w:color w:val="auto"/>
                <w:sz w:val="22"/>
              </w:rPr>
              <w:t>单项</w:t>
            </w:r>
            <w:r>
              <w:rPr>
                <w:rFonts w:ascii="宋体"/>
                <w:color w:val="auto"/>
                <w:sz w:val="22"/>
              </w:rPr>
              <w:t>先进个人</w:t>
            </w:r>
          </w:p>
          <w:p w14:paraId="5ED6257F">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（社会服务）</w:t>
            </w:r>
          </w:p>
        </w:tc>
        <w:tc>
          <w:tcPr>
            <w:tcW w:w="1154" w:type="dxa"/>
            <w:vAlign w:val="center"/>
          </w:tcPr>
          <w:p w14:paraId="296083B0">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合格</w:t>
            </w:r>
          </w:p>
        </w:tc>
        <w:tc>
          <w:tcPr>
            <w:tcW w:w="657" w:type="dxa"/>
            <w:vAlign w:val="center"/>
          </w:tcPr>
          <w:p w14:paraId="2B907466">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0</w:t>
            </w:r>
          </w:p>
        </w:tc>
        <w:tc>
          <w:tcPr>
            <w:tcW w:w="1049" w:type="dxa"/>
            <w:vAlign w:val="center"/>
          </w:tcPr>
          <w:p w14:paraId="7D0E51A1">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0</w:t>
            </w:r>
          </w:p>
        </w:tc>
        <w:tc>
          <w:tcPr>
            <w:tcW w:w="1049" w:type="dxa"/>
            <w:vAlign w:val="center"/>
          </w:tcPr>
          <w:p w14:paraId="3B556448">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20</w:t>
            </w:r>
            <w:r>
              <w:rPr>
                <w:rFonts w:hint="eastAsia" w:ascii="宋体"/>
                <w:color w:val="auto"/>
                <w:sz w:val="22"/>
              </w:rPr>
              <w:t>%</w:t>
            </w:r>
          </w:p>
        </w:tc>
        <w:tc>
          <w:tcPr>
            <w:tcW w:w="1549" w:type="dxa"/>
            <w:vAlign w:val="center"/>
          </w:tcPr>
          <w:p w14:paraId="1F547BDD">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80%</w:t>
            </w:r>
          </w:p>
        </w:tc>
        <w:tc>
          <w:tcPr>
            <w:tcW w:w="879" w:type="dxa"/>
            <w:vAlign w:val="center"/>
          </w:tcPr>
          <w:p w14:paraId="371187C3">
            <w:pPr>
              <w:spacing w:line="360" w:lineRule="auto"/>
              <w:jc w:val="center"/>
              <w:rPr>
                <w:rFonts w:hint="eastAsia" w:ascii="宋体" w:hAnsi="Times New Roman" w:eastAsia="宋体" w:cs="Times New Roman"/>
                <w:b/>
                <w:color w:val="auto"/>
                <w:kern w:val="2"/>
                <w:sz w:val="22"/>
                <w:szCs w:val="24"/>
                <w:lang w:val="en-US" w:eastAsia="zh-CN" w:bidi="ar-SA"/>
              </w:rPr>
            </w:pPr>
            <w:r>
              <w:rPr>
                <w:rFonts w:ascii="宋体"/>
                <w:b/>
                <w:color w:val="auto"/>
                <w:sz w:val="22"/>
              </w:rPr>
              <w:t>70%</w:t>
            </w:r>
          </w:p>
        </w:tc>
        <w:tc>
          <w:tcPr>
            <w:tcW w:w="879" w:type="dxa"/>
            <w:vAlign w:val="center"/>
          </w:tcPr>
          <w:p w14:paraId="3846BAEF">
            <w:pPr>
              <w:spacing w:line="360" w:lineRule="auto"/>
              <w:jc w:val="center"/>
              <w:rPr>
                <w:rFonts w:ascii="宋体"/>
                <w:b/>
                <w:color w:val="auto"/>
                <w:sz w:val="22"/>
              </w:rPr>
            </w:pPr>
            <w:r>
              <w:rPr>
                <w:rFonts w:hint="eastAsia" w:ascii="宋体"/>
                <w:b/>
                <w:color w:val="auto"/>
                <w:sz w:val="22"/>
                <w:lang w:val="en-US" w:eastAsia="zh-CN"/>
              </w:rPr>
              <w:t>30%</w:t>
            </w:r>
          </w:p>
        </w:tc>
      </w:tr>
      <w:tr w14:paraId="68DE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7" w:type="dxa"/>
            <w:vAlign w:val="top"/>
          </w:tcPr>
          <w:p w14:paraId="52C3285E">
            <w:pPr>
              <w:spacing w:line="360" w:lineRule="auto"/>
              <w:jc w:val="center"/>
              <w:rPr>
                <w:rFonts w:ascii="宋体"/>
                <w:color w:val="auto"/>
                <w:sz w:val="22"/>
              </w:rPr>
            </w:pPr>
            <w:r>
              <w:rPr>
                <w:rFonts w:hint="eastAsia" w:ascii="宋体"/>
                <w:color w:val="auto"/>
                <w:sz w:val="22"/>
              </w:rPr>
              <w:t>单项</w:t>
            </w:r>
            <w:r>
              <w:rPr>
                <w:rFonts w:ascii="宋体"/>
                <w:color w:val="auto"/>
                <w:sz w:val="22"/>
              </w:rPr>
              <w:t>先进个人</w:t>
            </w:r>
          </w:p>
          <w:p w14:paraId="5F76BDD8">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（体育美育）</w:t>
            </w:r>
          </w:p>
        </w:tc>
        <w:tc>
          <w:tcPr>
            <w:tcW w:w="1154" w:type="dxa"/>
            <w:vAlign w:val="center"/>
          </w:tcPr>
          <w:p w14:paraId="37205AE7">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合格</w:t>
            </w:r>
          </w:p>
        </w:tc>
        <w:tc>
          <w:tcPr>
            <w:tcW w:w="657" w:type="dxa"/>
            <w:vAlign w:val="center"/>
          </w:tcPr>
          <w:p w14:paraId="0BE76453">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0</w:t>
            </w:r>
          </w:p>
        </w:tc>
        <w:tc>
          <w:tcPr>
            <w:tcW w:w="1049" w:type="dxa"/>
            <w:vAlign w:val="center"/>
          </w:tcPr>
          <w:p w14:paraId="48CA97AB">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0</w:t>
            </w:r>
          </w:p>
        </w:tc>
        <w:tc>
          <w:tcPr>
            <w:tcW w:w="1049" w:type="dxa"/>
            <w:vAlign w:val="center"/>
          </w:tcPr>
          <w:p w14:paraId="481FD0D3">
            <w:pPr>
              <w:spacing w:line="360" w:lineRule="auto"/>
              <w:jc w:val="center"/>
              <w:rPr>
                <w:rFonts w:hint="eastAsia" w:ascii="宋体" w:hAnsi="Times New Roman" w:eastAsia="宋体" w:cs="Times New Roman"/>
                <w:color w:val="auto"/>
                <w:kern w:val="2"/>
                <w:sz w:val="22"/>
                <w:szCs w:val="24"/>
                <w:lang w:val="en-US" w:eastAsia="zh-CN" w:bidi="ar-SA"/>
              </w:rPr>
            </w:pPr>
            <w:r>
              <w:rPr>
                <w:rFonts w:hint="eastAsia" w:ascii="宋体"/>
                <w:color w:val="auto"/>
                <w:sz w:val="22"/>
              </w:rPr>
              <w:t>2</w:t>
            </w:r>
            <w:r>
              <w:rPr>
                <w:rFonts w:ascii="宋体"/>
                <w:color w:val="auto"/>
                <w:sz w:val="22"/>
              </w:rPr>
              <w:t>5</w:t>
            </w:r>
            <w:r>
              <w:rPr>
                <w:rFonts w:hint="eastAsia" w:ascii="宋体"/>
                <w:color w:val="auto"/>
                <w:sz w:val="22"/>
              </w:rPr>
              <w:t>%</w:t>
            </w:r>
          </w:p>
        </w:tc>
        <w:tc>
          <w:tcPr>
            <w:tcW w:w="1549" w:type="dxa"/>
            <w:vAlign w:val="center"/>
          </w:tcPr>
          <w:p w14:paraId="31F63114">
            <w:pPr>
              <w:spacing w:line="360" w:lineRule="auto"/>
              <w:jc w:val="center"/>
              <w:rPr>
                <w:rFonts w:hint="eastAsia" w:ascii="宋体" w:hAnsi="Times New Roman" w:eastAsia="宋体" w:cs="Times New Roman"/>
                <w:color w:val="auto"/>
                <w:kern w:val="2"/>
                <w:sz w:val="22"/>
                <w:szCs w:val="24"/>
                <w:lang w:val="en-US" w:eastAsia="zh-CN" w:bidi="ar-SA"/>
              </w:rPr>
            </w:pPr>
            <w:r>
              <w:rPr>
                <w:rFonts w:ascii="宋体"/>
                <w:color w:val="auto"/>
                <w:sz w:val="22"/>
              </w:rPr>
              <w:t>75%</w:t>
            </w:r>
          </w:p>
        </w:tc>
        <w:tc>
          <w:tcPr>
            <w:tcW w:w="879" w:type="dxa"/>
            <w:vAlign w:val="center"/>
          </w:tcPr>
          <w:p w14:paraId="7890B30C">
            <w:pPr>
              <w:spacing w:line="360" w:lineRule="auto"/>
              <w:jc w:val="center"/>
              <w:rPr>
                <w:rFonts w:hint="eastAsia" w:ascii="宋体" w:hAnsi="Times New Roman" w:eastAsia="宋体" w:cs="Times New Roman"/>
                <w:b/>
                <w:color w:val="auto"/>
                <w:kern w:val="2"/>
                <w:sz w:val="22"/>
                <w:szCs w:val="24"/>
                <w:lang w:val="en-US" w:eastAsia="zh-CN" w:bidi="ar-SA"/>
              </w:rPr>
            </w:pPr>
            <w:r>
              <w:rPr>
                <w:rFonts w:ascii="宋体"/>
                <w:b/>
                <w:color w:val="auto"/>
                <w:sz w:val="22"/>
              </w:rPr>
              <w:t>70%</w:t>
            </w:r>
          </w:p>
        </w:tc>
        <w:tc>
          <w:tcPr>
            <w:tcW w:w="879" w:type="dxa"/>
            <w:vAlign w:val="center"/>
          </w:tcPr>
          <w:p w14:paraId="0D8B9CB1">
            <w:pPr>
              <w:spacing w:line="360" w:lineRule="auto"/>
              <w:jc w:val="center"/>
              <w:rPr>
                <w:rFonts w:ascii="宋体"/>
                <w:b/>
                <w:color w:val="auto"/>
                <w:sz w:val="22"/>
              </w:rPr>
            </w:pPr>
            <w:r>
              <w:rPr>
                <w:rFonts w:hint="eastAsia" w:ascii="宋体"/>
                <w:b/>
                <w:color w:val="auto"/>
                <w:sz w:val="22"/>
                <w:lang w:val="en-US" w:eastAsia="zh-CN"/>
              </w:rPr>
              <w:t>30%</w:t>
            </w:r>
          </w:p>
        </w:tc>
      </w:tr>
    </w:tbl>
    <w:p w14:paraId="0C876EC7">
      <w:pPr>
        <w:numPr>
          <w:ilvl w:val="0"/>
          <w:numId w:val="2"/>
        </w:numPr>
        <w:spacing w:line="360" w:lineRule="auto"/>
        <w:rPr>
          <w:rFonts w:hint="eastAsia"/>
          <w:color w:val="auto"/>
          <w:sz w:val="24"/>
        </w:rPr>
      </w:pPr>
      <w:r>
        <w:rPr>
          <w:rFonts w:hint="eastAsia"/>
          <w:color w:val="auto"/>
          <w:sz w:val="24"/>
        </w:rPr>
        <w:t>本办法解释权归艺术学院。</w:t>
      </w:r>
    </w:p>
    <w:p w14:paraId="1314B6C2">
      <w:pPr>
        <w:numPr>
          <w:ilvl w:val="0"/>
          <w:numId w:val="0"/>
        </w:numPr>
        <w:spacing w:line="360" w:lineRule="auto"/>
        <w:rPr>
          <w:rFonts w:hint="eastAsia"/>
          <w:color w:val="auto"/>
          <w:sz w:val="24"/>
        </w:rPr>
      </w:pPr>
    </w:p>
    <w:p w14:paraId="767AB1B0">
      <w:pPr>
        <w:spacing w:line="360" w:lineRule="auto"/>
        <w:ind w:left="420" w:firstLine="4920" w:firstLineChars="2050"/>
        <w:jc w:val="right"/>
        <w:rPr>
          <w:rFonts w:hint="eastAsia" w:ascii="宋体" w:eastAsia="宋体"/>
          <w:color w:val="auto"/>
          <w:sz w:val="24"/>
          <w:lang w:val="en-US" w:eastAsia="zh-CN"/>
        </w:rPr>
      </w:pPr>
      <w:r>
        <w:rPr>
          <w:rFonts w:hint="eastAsia" w:ascii="宋体" w:hAnsi="宋体"/>
          <w:color w:val="auto"/>
          <w:sz w:val="24"/>
        </w:rPr>
        <w:t>东南大学艺术学院</w:t>
      </w:r>
    </w:p>
    <w:p w14:paraId="2C99C581">
      <w:pPr>
        <w:spacing w:line="360" w:lineRule="auto"/>
        <w:ind w:left="420" w:leftChars="200" w:firstLine="4920" w:firstLineChars="2050"/>
        <w:jc w:val="right"/>
        <w:rPr>
          <w:rFonts w:hint="default" w:ascii="宋体" w:hAnsi="宋体" w:eastAsia="宋体"/>
          <w:color w:val="auto"/>
          <w:sz w:val="24"/>
          <w:lang w:val="en-US" w:eastAsia="zh-CN"/>
        </w:rPr>
      </w:pPr>
      <w:r>
        <w:rPr>
          <w:rFonts w:ascii="宋体" w:hAnsi="宋体"/>
          <w:color w:val="auto"/>
          <w:sz w:val="24"/>
        </w:rPr>
        <w:t>202</w:t>
      </w:r>
      <w:r>
        <w:rPr>
          <w:rFonts w:hint="eastAsia" w:ascii="宋体" w:hAnsi="宋体"/>
          <w:color w:val="auto"/>
          <w:sz w:val="24"/>
          <w:lang w:val="en-US" w:eastAsia="zh-CN"/>
        </w:rPr>
        <w:t>6</w:t>
      </w:r>
      <w:r>
        <w:rPr>
          <w:rFonts w:hint="eastAsia" w:ascii="宋体" w:hAnsi="宋体"/>
          <w:color w:val="auto"/>
          <w:sz w:val="24"/>
        </w:rPr>
        <w:t>年</w:t>
      </w:r>
      <w:r>
        <w:rPr>
          <w:rFonts w:hint="eastAsia" w:ascii="宋体" w:hAnsi="宋体"/>
          <w:color w:val="auto"/>
          <w:sz w:val="24"/>
          <w:lang w:val="en-US" w:eastAsia="zh-CN"/>
        </w:rPr>
        <w:t>5</w:t>
      </w:r>
      <w:r>
        <w:rPr>
          <w:rFonts w:hint="eastAsia" w:ascii="宋体" w:hAnsi="宋体"/>
          <w:color w:val="auto"/>
          <w:sz w:val="24"/>
        </w:rPr>
        <w:t>月</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9542671"/>
      <w:docPartObj>
        <w:docPartGallery w:val="autotext"/>
      </w:docPartObj>
    </w:sdtPr>
    <w:sdtContent>
      <w:p w14:paraId="3FAD5EB8">
        <w:pPr>
          <w:pStyle w:val="4"/>
          <w:jc w:val="center"/>
        </w:pPr>
        <w:r>
          <w:fldChar w:fldCharType="begin"/>
        </w:r>
        <w:r>
          <w:instrText xml:space="preserve">PAGE   \* MERGEFORMAT</w:instrText>
        </w:r>
        <w:r>
          <w:fldChar w:fldCharType="separate"/>
        </w:r>
        <w:r>
          <w:rPr>
            <w:lang w:val="zh-CN"/>
          </w:rPr>
          <w:t>5</w:t>
        </w:r>
        <w:r>
          <w:fldChar w:fldCharType="end"/>
        </w:r>
      </w:p>
    </w:sdtContent>
  </w:sdt>
  <w:p w14:paraId="3C6059C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2453923"/>
      <w:docPartObj>
        <w:docPartGallery w:val="autotext"/>
      </w:docPartObj>
    </w:sdtPr>
    <w:sdtContent>
      <w:p w14:paraId="19B93BDA">
        <w:pPr>
          <w:pStyle w:val="5"/>
        </w:pPr>
        <w:r>
          <w:fldChar w:fldCharType="begin"/>
        </w:r>
        <w:r>
          <w:instrText xml:space="preserve">PAGE   \* MERGEFORMAT</w:instrText>
        </w:r>
        <w:r>
          <w:fldChar w:fldCharType="separate"/>
        </w:r>
        <w:r>
          <w:rPr>
            <w:lang w:val="zh-CN"/>
          </w:rPr>
          <w:t>5</w:t>
        </w:r>
        <w:r>
          <w:fldChar w:fldCharType="end"/>
        </w:r>
      </w:p>
    </w:sdtContent>
  </w:sdt>
  <w:p w14:paraId="13B0D621">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25E196"/>
    <w:multiLevelType w:val="singleLevel"/>
    <w:tmpl w:val="C125E196"/>
    <w:lvl w:ilvl="0" w:tentative="0">
      <w:start w:val="2"/>
      <w:numFmt w:val="decimal"/>
      <w:suff w:val="nothing"/>
      <w:lvlText w:val="（%1）"/>
      <w:lvlJc w:val="left"/>
    </w:lvl>
  </w:abstractNum>
  <w:abstractNum w:abstractNumId="1">
    <w:nsid w:val="C2B7412A"/>
    <w:multiLevelType w:val="singleLevel"/>
    <w:tmpl w:val="C2B7412A"/>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1MWYyZjJhZDhkZmVlMzU2NTAwYzE5YzEyMWMxYTcifQ=="/>
  </w:docVars>
  <w:rsids>
    <w:rsidRoot w:val="7F242962"/>
    <w:rsid w:val="000B4F78"/>
    <w:rsid w:val="00100ABE"/>
    <w:rsid w:val="00185C0F"/>
    <w:rsid w:val="001B7456"/>
    <w:rsid w:val="00241176"/>
    <w:rsid w:val="002643D0"/>
    <w:rsid w:val="0026705C"/>
    <w:rsid w:val="0028003E"/>
    <w:rsid w:val="002D2199"/>
    <w:rsid w:val="002E2CAB"/>
    <w:rsid w:val="002E43D1"/>
    <w:rsid w:val="00316B70"/>
    <w:rsid w:val="00355E75"/>
    <w:rsid w:val="0039266C"/>
    <w:rsid w:val="003B6A80"/>
    <w:rsid w:val="003C0091"/>
    <w:rsid w:val="00404768"/>
    <w:rsid w:val="004C281F"/>
    <w:rsid w:val="004F2078"/>
    <w:rsid w:val="00533453"/>
    <w:rsid w:val="005356FB"/>
    <w:rsid w:val="005D2566"/>
    <w:rsid w:val="0062467D"/>
    <w:rsid w:val="00627767"/>
    <w:rsid w:val="006D1EF0"/>
    <w:rsid w:val="00745AC7"/>
    <w:rsid w:val="007E66FB"/>
    <w:rsid w:val="007F166C"/>
    <w:rsid w:val="00897D81"/>
    <w:rsid w:val="008B1CC2"/>
    <w:rsid w:val="00937524"/>
    <w:rsid w:val="009544A3"/>
    <w:rsid w:val="00960365"/>
    <w:rsid w:val="0096741C"/>
    <w:rsid w:val="00993267"/>
    <w:rsid w:val="00997064"/>
    <w:rsid w:val="009D230B"/>
    <w:rsid w:val="00A8607A"/>
    <w:rsid w:val="00A95EDC"/>
    <w:rsid w:val="00AC37C7"/>
    <w:rsid w:val="00AC3A24"/>
    <w:rsid w:val="00AD46DB"/>
    <w:rsid w:val="00B02C82"/>
    <w:rsid w:val="00B2798D"/>
    <w:rsid w:val="00B8080D"/>
    <w:rsid w:val="00B930E4"/>
    <w:rsid w:val="00B96EAE"/>
    <w:rsid w:val="00BD27F2"/>
    <w:rsid w:val="00BD2964"/>
    <w:rsid w:val="00BF6EC1"/>
    <w:rsid w:val="00C2184C"/>
    <w:rsid w:val="00CC276E"/>
    <w:rsid w:val="00CE51EB"/>
    <w:rsid w:val="00CF6DA7"/>
    <w:rsid w:val="00D516E4"/>
    <w:rsid w:val="00D723D3"/>
    <w:rsid w:val="00DC7E42"/>
    <w:rsid w:val="00E113A6"/>
    <w:rsid w:val="00E53BA4"/>
    <w:rsid w:val="00F0027D"/>
    <w:rsid w:val="00F12656"/>
    <w:rsid w:val="00F52401"/>
    <w:rsid w:val="00F62E1F"/>
    <w:rsid w:val="00F73933"/>
    <w:rsid w:val="00FA5834"/>
    <w:rsid w:val="00FC13B2"/>
    <w:rsid w:val="00FF022D"/>
    <w:rsid w:val="04217DC5"/>
    <w:rsid w:val="056E7B05"/>
    <w:rsid w:val="073706D6"/>
    <w:rsid w:val="09CB3F7B"/>
    <w:rsid w:val="0A232959"/>
    <w:rsid w:val="0ACE05D7"/>
    <w:rsid w:val="0DF30354"/>
    <w:rsid w:val="108A6B42"/>
    <w:rsid w:val="12375C72"/>
    <w:rsid w:val="14F3281C"/>
    <w:rsid w:val="16EB42BE"/>
    <w:rsid w:val="176512FA"/>
    <w:rsid w:val="1D8D1F09"/>
    <w:rsid w:val="28EC32AF"/>
    <w:rsid w:val="2CD72785"/>
    <w:rsid w:val="30E164BD"/>
    <w:rsid w:val="341279FE"/>
    <w:rsid w:val="346B7E29"/>
    <w:rsid w:val="34E10849"/>
    <w:rsid w:val="39C66C0E"/>
    <w:rsid w:val="40474D31"/>
    <w:rsid w:val="4B0B0885"/>
    <w:rsid w:val="4B293885"/>
    <w:rsid w:val="4DA7354C"/>
    <w:rsid w:val="698D7F96"/>
    <w:rsid w:val="6CB1265C"/>
    <w:rsid w:val="723B3FF2"/>
    <w:rsid w:val="7CE313E3"/>
    <w:rsid w:val="7F2429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qFormat/>
    <w:uiPriority w:val="0"/>
    <w:pPr>
      <w:ind w:left="100" w:leftChars="2500"/>
    </w:pPr>
  </w:style>
  <w:style w:type="paragraph" w:styleId="3">
    <w:name w:val="Balloon Text"/>
    <w:basedOn w:val="1"/>
    <w:link w:val="13"/>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4"/>
    <w:qFormat/>
    <w:uiPriority w:val="99"/>
    <w:pPr>
      <w:pBdr>
        <w:bottom w:val="single" w:color="auto" w:sz="6" w:space="1"/>
      </w:pBdr>
      <w:tabs>
        <w:tab w:val="center" w:pos="4153"/>
        <w:tab w:val="right" w:pos="8306"/>
      </w:tabs>
      <w:snapToGrid w:val="0"/>
      <w:jc w:val="center"/>
    </w:pPr>
    <w:rPr>
      <w:kern w:val="0"/>
      <w:sz w:val="18"/>
      <w:szCs w:val="18"/>
    </w:rPr>
  </w:style>
  <w:style w:type="table" w:styleId="7">
    <w:name w:val="Table Grid"/>
    <w:basedOn w:val="6"/>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列表段落1"/>
    <w:basedOn w:val="1"/>
    <w:qFormat/>
    <w:uiPriority w:val="99"/>
    <w:pPr>
      <w:ind w:firstLine="420" w:firstLineChars="200"/>
    </w:pPr>
  </w:style>
  <w:style w:type="paragraph" w:styleId="10">
    <w:name w:val="List Paragraph"/>
    <w:basedOn w:val="1"/>
    <w:qFormat/>
    <w:uiPriority w:val="99"/>
    <w:pPr>
      <w:ind w:firstLine="420" w:firstLineChars="200"/>
    </w:pPr>
  </w:style>
  <w:style w:type="character" w:customStyle="1" w:styleId="11">
    <w:name w:val="页脚 字符"/>
    <w:basedOn w:val="8"/>
    <w:link w:val="4"/>
    <w:qFormat/>
    <w:uiPriority w:val="99"/>
    <w:rPr>
      <w:rFonts w:ascii="Times New Roman" w:hAnsi="Times New Roman" w:eastAsia="宋体" w:cs="Times New Roman"/>
      <w:kern w:val="2"/>
      <w:sz w:val="18"/>
      <w:szCs w:val="18"/>
    </w:rPr>
  </w:style>
  <w:style w:type="character" w:customStyle="1" w:styleId="12">
    <w:name w:val="日期 字符"/>
    <w:basedOn w:val="8"/>
    <w:link w:val="2"/>
    <w:qFormat/>
    <w:uiPriority w:val="0"/>
    <w:rPr>
      <w:rFonts w:ascii="Times New Roman" w:hAnsi="Times New Roman" w:eastAsia="宋体" w:cs="Times New Roman"/>
      <w:kern w:val="2"/>
      <w:sz w:val="21"/>
      <w:szCs w:val="24"/>
    </w:rPr>
  </w:style>
  <w:style w:type="character" w:customStyle="1" w:styleId="13">
    <w:name w:val="批注框文本 字符"/>
    <w:basedOn w:val="8"/>
    <w:link w:val="3"/>
    <w:qFormat/>
    <w:uiPriority w:val="0"/>
    <w:rPr>
      <w:rFonts w:ascii="Times New Roman" w:hAnsi="Times New Roman" w:eastAsia="宋体" w:cs="Times New Roman"/>
      <w:kern w:val="2"/>
      <w:sz w:val="18"/>
      <w:szCs w:val="18"/>
    </w:rPr>
  </w:style>
  <w:style w:type="character" w:customStyle="1" w:styleId="14">
    <w:name w:val="页眉 字符"/>
    <w:basedOn w:val="8"/>
    <w:link w:val="5"/>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3237</Words>
  <Characters>3366</Characters>
  <Lines>33</Lines>
  <Paragraphs>9</Paragraphs>
  <TotalTime>1</TotalTime>
  <ScaleCrop>false</ScaleCrop>
  <LinksUpToDate>false</LinksUpToDate>
  <CharactersWithSpaces>3401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2023-09-22T10:22:00Z</dcterms:created>
  <dc:creator>以棠棠</dc:creator>
  <cp:lastModifiedBy>开开辉</cp:lastModifiedBy>
  <cp:lastPrinted>2024-03-13T06:42:00Z</cp:lastPrinted>
  <dcterms:modified xsi:type="dcterms:W3CDTF">2026-09-02T04:14:54Z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A87B00125C3841E880D4C2D9C18F300F_13</vt:lpwstr>
  </property>
  <property fmtid="{D5CDD505-2E9C-101B-9397-08002B2CF9AE}" pid="4" name="KSOTemplateDocerSaveRecord">
    <vt:lpwstr>eyJoZGlkIjoiM2Y2YWNhZjIzNzc3YzEyMmZlNGNiNTE3OGI2NGNlZGYiLCJ1c2VySWQiOiI1NDcyNjYyMjIifQ==</vt:lpwstr>
  </property>
</Properties>
</file>